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9"/>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Content>
                  <w:p w14:paraId="1F5E0992" w14:textId="4FEA3803" w:rsidR="006E0517" w:rsidRPr="00371F14" w:rsidRDefault="00133BA5" w:rsidP="00954DDD">
                    <w:pPr>
                      <w:jc w:val="center"/>
                      <w:rPr>
                        <w:rFonts w:ascii="Aptos" w:hAnsi="Aptos"/>
                        <w:sz w:val="40"/>
                        <w:szCs w:val="40"/>
                      </w:rPr>
                    </w:pPr>
                    <w:r w:rsidRPr="000406D3">
                      <w:rPr>
                        <w:rStyle w:val="Overskrift2Tegn"/>
                      </w:rPr>
                      <w:t>Hj.pl. Holme</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4B29880" w14:textId="2313EE34" w:rsidR="006E0517" w:rsidRDefault="006E0517">
          <w:r>
            <w:br w:type="page"/>
          </w:r>
        </w:p>
      </w:sdtContent>
    </w:sdt>
    <w:p w14:paraId="333D4620" w14:textId="77777777" w:rsidR="00EB703D" w:rsidRDefault="00EB703D"/>
    <w:p w14:paraId="6188EBBD" w14:textId="677EF1AB" w:rsidR="006E0517" w:rsidRPr="002A2295" w:rsidRDefault="00F15CE7" w:rsidP="00DD7398">
      <w:pPr>
        <w:pStyle w:val="Overskrift1"/>
      </w:pPr>
      <w:r w:rsidRPr="002A2295">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Holme</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Nygårdsvej 34</w:t>
            </w:r>
          </w:p>
          <w:p w14:paraId="404F28C3" w14:textId="77777777" w:rsidR="002133B8" w:rsidRPr="000406D3" w:rsidRDefault="002133B8" w:rsidP="002133B8">
            <w:pPr>
              <w:rPr>
                <w:rFonts w:ascii="Aptos" w:hAnsi="Aptos"/>
                <w:sz w:val="22"/>
              </w:rPr>
            </w:pPr>
            <w:r w:rsidRPr="000406D3">
              <w:rPr>
                <w:rFonts w:ascii="Aptos" w:hAnsi="Aptos"/>
                <w:sz w:val="22"/>
              </w:rPr>
              <w:t>8270 Højbjerg</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1003361390</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1027891000016005</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07-05-2026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Camilla Mandrup Fjeldmark</w:t>
            </w:r>
          </w:p>
          <w:p w14:paraId="7F3CA0FD" w14:textId="77777777" w:rsidR="00005624" w:rsidRPr="000406D3" w:rsidRDefault="00005624" w:rsidP="00005624">
            <w:pPr>
              <w:rPr>
                <w:rFonts w:ascii="Aptos" w:hAnsi="Aptos"/>
                <w:sz w:val="22"/>
              </w:rPr>
            </w:pPr>
            <w:r w:rsidRPr="008C66C1">
              <w:rPr>
                <w:rFonts w:ascii="Aptos" w:hAnsi="Aptos"/>
                <w:sz w:val="22"/>
              </w:rPr>
              <w:t>Lone Bredal</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w:t>
            </w:r>
            <w:r w:rsidRPr="00DE4003">
              <w:rPr>
                <w:rFonts w:ascii="Aptos" w:hAnsi="Aptos"/>
                <w:sz w:val="22"/>
              </w:rPr>
              <w:br/>
              <w:t>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En social- og sundhedsassistent elev</w:t>
            </w:r>
            <w:r w:rsidR="00DE4003" w:rsidRPr="00DE4003">
              <w:rPr>
                <w:rFonts w:ascii="Aptos" w:hAnsi="Aptos"/>
                <w:sz w:val="22"/>
              </w:rPr>
              <w:br/>
              <w:t>• Fire social- og sundhedshjælpere</w:t>
            </w:r>
            <w:r w:rsidR="00DE4003" w:rsidRPr="00DE4003">
              <w:rPr>
                <w:rFonts w:ascii="Aptos" w:hAnsi="Aptos"/>
                <w:sz w:val="22"/>
              </w:rPr>
              <w:br/>
              <w:t>• En kompetenceudviklende sygeplejerske</w:t>
            </w:r>
            <w:r w:rsidR="00DE4003" w:rsidRPr="00DE4003">
              <w:rPr>
                <w:rFonts w:ascii="Aptos" w:hAnsi="Aptos"/>
                <w:sz w:val="22"/>
              </w:rPr>
              <w:br/>
              <w:t>• En fysioterapeut</w:t>
            </w:r>
            <w:r w:rsidR="00DE4003" w:rsidRPr="00DE4003">
              <w:rPr>
                <w:rFonts w:ascii="Aptos" w:hAnsi="Aptos"/>
                <w:sz w:val="22"/>
              </w:rPr>
              <w:br/>
              <w:t>• To social- og sundhedsassistenter</w:t>
            </w:r>
            <w:r w:rsidR="00DE4003" w:rsidRPr="00DE4003">
              <w:rPr>
                <w:rFonts w:ascii="Aptos" w:hAnsi="Aptos"/>
                <w:sz w:val="22"/>
              </w:rPr>
              <w:br/>
              <w:t>• En kvalitetskonsulent fra Aarhus Kommune</w:t>
            </w:r>
            <w:r w:rsidR="00DE4003" w:rsidRPr="00DE4003">
              <w:rPr>
                <w:rFonts w:ascii="Aptos" w:hAnsi="Aptos"/>
                <w:sz w:val="22"/>
              </w:rPr>
              <w:br/>
              <w:t>• Anette Fritsche, viceleder</w:t>
            </w:r>
            <w:r w:rsidR="00DE4003" w:rsidRPr="00DE4003">
              <w:rPr>
                <w:rFonts w:ascii="Aptos" w:hAnsi="Aptos"/>
                <w:sz w:val="22"/>
              </w:rPr>
              <w:br/>
              <w:t>• Susanne Vinther, leder</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En social- og sundhedsassistent</w:t>
            </w:r>
            <w:r w:rsidRPr="00DE4003">
              <w:rPr>
                <w:rFonts w:ascii="Aptos" w:hAnsi="Aptos"/>
                <w:sz w:val="22"/>
              </w:rPr>
              <w:br/>
              <w:t>• En kompetence udviklende sygeplejerske</w:t>
            </w:r>
            <w:r w:rsidRPr="00DE4003">
              <w:rPr>
                <w:rFonts w:ascii="Aptos" w:hAnsi="Aptos"/>
                <w:sz w:val="22"/>
              </w:rPr>
              <w:br/>
              <w:t>• En kvalitetskonsulent fra Aarhus Kommune</w:t>
            </w:r>
            <w:r w:rsidRPr="00DE4003">
              <w:rPr>
                <w:rFonts w:ascii="Aptos" w:hAnsi="Aptos"/>
                <w:sz w:val="22"/>
              </w:rPr>
              <w:br/>
              <w:t>• Anette Fritsche, viceleder</w:t>
            </w:r>
            <w:r w:rsidRPr="00DE4003">
              <w:rPr>
                <w:rFonts w:ascii="Aptos" w:hAnsi="Aptos"/>
                <w:sz w:val="22"/>
              </w:rPr>
              <w:br/>
              <w:t>• Susanne Vinther, leder</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6BA4F539"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Enkeltinterview af følgende:</w:t>
            </w:r>
            <w:r w:rsidR="00DE4003" w:rsidRPr="00DE4003">
              <w:rPr>
                <w:rFonts w:ascii="Aptos" w:hAnsi="Aptos"/>
                <w:sz w:val="22"/>
              </w:rPr>
              <w:br/>
              <w:t>• Fire borgere</w:t>
            </w:r>
            <w:r w:rsidR="00DE4003" w:rsidRPr="00DE4003">
              <w:rPr>
                <w:rFonts w:ascii="Aptos" w:hAnsi="Aptos"/>
                <w:sz w:val="22"/>
              </w:rPr>
              <w:br/>
              <w:t>• Fire pårørende</w:t>
            </w:r>
            <w:r w:rsidR="00DE4003" w:rsidRPr="00DE4003">
              <w:rPr>
                <w:rFonts w:ascii="Aptos" w:hAnsi="Aptos"/>
                <w:sz w:val="22"/>
              </w:rPr>
              <w:br/>
            </w:r>
            <w:r w:rsidR="00DE4003" w:rsidRPr="00DE4003">
              <w:rPr>
                <w:rFonts w:ascii="Aptos" w:hAnsi="Aptos"/>
                <w:sz w:val="22"/>
              </w:rPr>
              <w:br/>
              <w:t>Gruppeinterview af følgende:</w:t>
            </w:r>
            <w:r w:rsidR="00DE4003" w:rsidRPr="00DE4003">
              <w:rPr>
                <w:rFonts w:ascii="Aptos" w:hAnsi="Aptos"/>
                <w:sz w:val="22"/>
              </w:rPr>
              <w:br/>
              <w:t>Medarbejdere</w:t>
            </w:r>
            <w:r w:rsidR="00DE4003" w:rsidRPr="00DE4003">
              <w:rPr>
                <w:rFonts w:ascii="Aptos" w:hAnsi="Aptos"/>
                <w:sz w:val="22"/>
              </w:rPr>
              <w:br/>
              <w:t>• En social- og sundhedsassistent elev</w:t>
            </w:r>
            <w:r w:rsidR="00DE4003" w:rsidRPr="00DE4003">
              <w:rPr>
                <w:rFonts w:ascii="Aptos" w:hAnsi="Aptos"/>
                <w:sz w:val="22"/>
              </w:rPr>
              <w:br/>
              <w:t>• To social- og sundhedshjælpere</w:t>
            </w:r>
            <w:r w:rsidR="00DE4003" w:rsidRPr="00DE4003">
              <w:rPr>
                <w:rFonts w:ascii="Aptos" w:hAnsi="Aptos"/>
                <w:sz w:val="22"/>
              </w:rPr>
              <w:br/>
              <w:t>• En kompetence udviklende sygeplejerske</w:t>
            </w:r>
            <w:r w:rsidR="00DE4003" w:rsidRPr="00DE4003">
              <w:rPr>
                <w:rFonts w:ascii="Aptos" w:hAnsi="Aptos"/>
                <w:sz w:val="22"/>
              </w:rPr>
              <w:br/>
              <w:t>• En fysioterapeut</w:t>
            </w:r>
            <w:r w:rsidR="00DE4003" w:rsidRPr="00DE4003">
              <w:rPr>
                <w:rFonts w:ascii="Aptos" w:hAnsi="Aptos"/>
                <w:sz w:val="22"/>
              </w:rPr>
              <w:br/>
              <w:t>• To social- og sundhedsassistenter</w:t>
            </w:r>
            <w:r w:rsidR="00DE4003" w:rsidRPr="00DE4003">
              <w:rPr>
                <w:rFonts w:ascii="Aptos" w:hAnsi="Aptos"/>
                <w:sz w:val="22"/>
              </w:rPr>
              <w:br/>
            </w:r>
            <w:r w:rsidR="00DE4003" w:rsidRPr="00DE4003">
              <w:rPr>
                <w:rFonts w:ascii="Aptos" w:hAnsi="Aptos"/>
                <w:sz w:val="22"/>
              </w:rPr>
              <w:lastRenderedPageBreak/>
              <w:t xml:space="preserve">Ledelsen </w:t>
            </w:r>
            <w:r w:rsidR="00DE4003" w:rsidRPr="00DE4003">
              <w:rPr>
                <w:rFonts w:ascii="Aptos" w:hAnsi="Aptos"/>
                <w:sz w:val="22"/>
              </w:rPr>
              <w:br/>
              <w:t>• En kvalitetskonsulent fra Aarhus Kommune</w:t>
            </w:r>
            <w:r w:rsidR="00DE4003" w:rsidRPr="00DE4003">
              <w:rPr>
                <w:rFonts w:ascii="Aptos" w:hAnsi="Aptos"/>
                <w:sz w:val="22"/>
              </w:rPr>
              <w:br/>
              <w:t>• Anette Fritsche, viceleder</w:t>
            </w:r>
            <w:r w:rsidR="00DE4003" w:rsidRPr="00DE4003">
              <w:rPr>
                <w:rFonts w:ascii="Aptos" w:hAnsi="Aptos"/>
                <w:sz w:val="22"/>
              </w:rPr>
              <w:br/>
              <w:t>• Susanne Vinther, leder</w:t>
            </w:r>
            <w:r w:rsidR="00DE4003" w:rsidRPr="00DE4003">
              <w:rPr>
                <w:rFonts w:ascii="Aptos" w:hAnsi="Aptos"/>
                <w:sz w:val="22"/>
              </w:rPr>
              <w:br/>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Personlig pleje af tre borgere udført af to forskellige social og sundhedshjælpere og en social- og sundhedsassistent elev.</w:t>
            </w:r>
            <w:r w:rsidR="00DE4003" w:rsidRPr="00DE4003">
              <w:rPr>
                <w:rFonts w:ascii="Aptos" w:hAnsi="Aptos"/>
                <w:sz w:val="22"/>
              </w:rPr>
              <w:br/>
            </w:r>
            <w:r w:rsidR="00DE4003" w:rsidRPr="00DE4003">
              <w:rPr>
                <w:rFonts w:ascii="Aptos" w:hAnsi="Aptos"/>
                <w:sz w:val="22"/>
              </w:rPr>
              <w:br/>
              <w:t>Andet:</w:t>
            </w:r>
            <w:r w:rsidR="00DE4003" w:rsidRPr="00DE4003">
              <w:rPr>
                <w:rFonts w:ascii="Aptos" w:hAnsi="Aptos"/>
                <w:sz w:val="22"/>
              </w:rPr>
              <w:br/>
              <w:t>• En kort samtale med to forskellige medarbejdere</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lastRenderedPageBreak/>
              <w:t>Sagsnr.:</w:t>
            </w:r>
          </w:p>
          <w:p w14:paraId="6EDAAE78" w14:textId="1B128EC2" w:rsidR="00F15CE7" w:rsidRPr="000406D3" w:rsidRDefault="00061AC4" w:rsidP="00D65541">
            <w:pPr>
              <w:rPr>
                <w:rFonts w:ascii="Aptos" w:hAnsi="Aptos"/>
                <w:sz w:val="22"/>
              </w:rPr>
            </w:pPr>
            <w:r w:rsidRPr="000406D3">
              <w:rPr>
                <w:rFonts w:ascii="Aptos" w:hAnsi="Aptos"/>
                <w:sz w:val="22"/>
              </w:rPr>
              <w:t>SAG-25/2682</w:t>
            </w:r>
          </w:p>
          <w:p w14:paraId="2AC3B09F" w14:textId="77777777" w:rsidR="00737B64" w:rsidRPr="000406D3" w:rsidRDefault="00737B64" w:rsidP="00D65541">
            <w:pPr>
              <w:rPr>
                <w:rFonts w:ascii="Aptos" w:hAnsi="Aptos"/>
                <w:sz w:val="22"/>
              </w:rPr>
            </w:pPr>
          </w:p>
        </w:tc>
      </w:tr>
    </w:tbl>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Leverandøren er en del af Aarhus Kommune Pleje og rehabilitering, område Syd- Distrikt Holme.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Leverandøren er inddelt i to teams</w:t>
            </w:r>
            <w:r w:rsidRPr="00B24AD5">
              <w:rPr>
                <w:rFonts w:ascii="Aptos" w:hAnsi="Aptos"/>
                <w:sz w:val="22"/>
              </w:rPr>
              <w:br/>
              <w:t>• Team Nygårdsvej</w:t>
            </w:r>
            <w:r w:rsidRPr="00B24AD5">
              <w:rPr>
                <w:rFonts w:ascii="Aptos" w:hAnsi="Aptos"/>
                <w:sz w:val="22"/>
              </w:rPr>
              <w:br/>
              <w:t>• Team Holme</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 270 borgere</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 Anette Fritsche, viceleder</w:t>
            </w:r>
            <w:r w:rsidRPr="00064525">
              <w:rPr>
                <w:rFonts w:ascii="Aptos" w:hAnsi="Aptos"/>
                <w:sz w:val="22"/>
              </w:rPr>
              <w:br/>
              <w:t>• Susanne Vinther,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 31 social- og sundhedshjælpere</w:t>
            </w:r>
            <w:r w:rsidRPr="00064525">
              <w:rPr>
                <w:rFonts w:ascii="Aptos" w:hAnsi="Aptos"/>
                <w:sz w:val="22"/>
              </w:rPr>
              <w:br/>
              <w:t xml:space="preserve">• 31 ufaglærte </w:t>
            </w:r>
            <w:r w:rsidRPr="00064525">
              <w:rPr>
                <w:rFonts w:ascii="Aptos" w:hAnsi="Aptos"/>
                <w:sz w:val="22"/>
              </w:rPr>
              <w:br/>
              <w:t>• To terapeuter</w:t>
            </w:r>
            <w:r w:rsidRPr="00064525">
              <w:rPr>
                <w:rFonts w:ascii="Aptos" w:hAnsi="Aptos"/>
                <w:sz w:val="22"/>
              </w:rPr>
              <w:br/>
            </w:r>
            <w:r w:rsidRPr="00064525">
              <w:rPr>
                <w:rFonts w:ascii="Aptos" w:hAnsi="Aptos"/>
                <w:sz w:val="22"/>
              </w:rPr>
              <w:lastRenderedPageBreak/>
              <w:t>• Seks social- og sundhedsassistenter</w:t>
            </w:r>
            <w:r w:rsidRPr="00064525">
              <w:rPr>
                <w:rFonts w:ascii="Aptos" w:hAnsi="Aptos"/>
                <w:sz w:val="22"/>
              </w:rPr>
              <w:br/>
              <w:t>• Fem sygeplejersker</w:t>
            </w:r>
            <w:r w:rsidRPr="00064525">
              <w:rPr>
                <w:rFonts w:ascii="Aptos" w:hAnsi="Aptos"/>
                <w:sz w:val="22"/>
              </w:rPr>
              <w:br/>
              <w:t>• Seks social- og sundhedselever</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lastRenderedPageBreak/>
              <w:t>Øvrige relevante oplysninger:</w:t>
            </w:r>
          </w:p>
          <w:p w14:paraId="180772A3" w14:textId="6FD81D10" w:rsidR="00487675" w:rsidRPr="00487675" w:rsidRDefault="00487675" w:rsidP="00487675">
            <w:pPr>
              <w:rPr>
                <w:rFonts w:ascii="Aptos" w:hAnsi="Aptos"/>
                <w:sz w:val="22"/>
              </w:rPr>
            </w:pPr>
            <w:r w:rsidRPr="00487675">
              <w:rPr>
                <w:rFonts w:ascii="Aptos" w:hAnsi="Aptos"/>
                <w:sz w:val="22"/>
              </w:rPr>
              <w:t xml:space="preserve">Leverandøren er en del af Pleje og rehabilitering, område </w:t>
            </w:r>
            <w:r>
              <w:rPr>
                <w:rFonts w:ascii="Aptos" w:hAnsi="Aptos"/>
                <w:sz w:val="22"/>
              </w:rPr>
              <w:t>Syd</w:t>
            </w:r>
            <w:r w:rsidRPr="00487675">
              <w:rPr>
                <w:rFonts w:ascii="Aptos" w:hAnsi="Aptos"/>
                <w:sz w:val="22"/>
              </w:rPr>
              <w:t>, Aarhus Kommune.</w:t>
            </w:r>
          </w:p>
          <w:p w14:paraId="498BCFCD" w14:textId="386B3E05" w:rsidR="00064525" w:rsidRPr="00764A3A" w:rsidRDefault="00064525" w:rsidP="006C0F2E">
            <w:pPr>
              <w:rPr>
                <w:rFonts w:ascii="Aptos" w:hAnsi="Aptos"/>
                <w:sz w:val="22"/>
              </w:rPr>
            </w:pPr>
          </w:p>
        </w:tc>
      </w:tr>
    </w:tbl>
    <w:p w14:paraId="43829951" w14:textId="039F0C4A" w:rsidR="00F15CE7" w:rsidRPr="002A2295" w:rsidRDefault="00F15CE7" w:rsidP="00163819">
      <w:pPr>
        <w:pStyle w:val="Overskrift1"/>
      </w:pPr>
      <w:r w:rsidRPr="002A2295">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Holme</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Leverandøren fremstår samlet set med god kvalitet. </w:t>
            </w:r>
            <w:r w:rsidRPr="001C647D">
              <w:rPr>
                <w:rFonts w:ascii="Aptos" w:hAnsi="Aptos"/>
                <w:sz w:val="22"/>
              </w:rPr>
              <w:br/>
              <w:t xml:space="preserve">Ældretilsynet vurderer, at der ingen væsentlige udfordringer er med kvaliteten i helhedsplejen. </w:t>
            </w:r>
            <w:r w:rsidRPr="001C647D">
              <w:rPr>
                <w:rFonts w:ascii="Aptos" w:hAnsi="Aptos"/>
                <w:sz w:val="22"/>
              </w:rPr>
              <w:br/>
              <w:t>Ældretilsynet lægger vægt på:</w:t>
            </w:r>
            <w:r w:rsidRPr="001C647D">
              <w:rPr>
                <w:rFonts w:ascii="Aptos" w:hAnsi="Aptos"/>
                <w:sz w:val="22"/>
              </w:rPr>
              <w:br/>
            </w:r>
            <w:r w:rsidRPr="001C647D">
              <w:rPr>
                <w:rFonts w:ascii="Aptos" w:hAnsi="Aptos"/>
                <w:sz w:val="22"/>
              </w:rPr>
              <w:br/>
              <w:t>• Ældretilsynet vurderer under temaet "den ældres selvbestemmelse", at borgere oplever medarbejderne som venlige og respektfulde. Medarbejderne arbejder i faste teams med fokus på kontinuitet, hvor medarbejderne inddrager borgerne i helhedsplejen samt tilpasser hjælpen efter borgerens behov.</w:t>
            </w:r>
            <w:r w:rsidRPr="001C647D">
              <w:rPr>
                <w:rFonts w:ascii="Aptos" w:hAnsi="Aptos"/>
                <w:sz w:val="22"/>
              </w:rPr>
              <w:br/>
            </w:r>
            <w:r w:rsidRPr="001C647D">
              <w:rPr>
                <w:rFonts w:ascii="Aptos" w:hAnsi="Aptos"/>
                <w:sz w:val="22"/>
              </w:rPr>
              <w:br/>
              <w:t xml:space="preserve"> • Ældretilsynet vurderer under temaet "tillid til medarbejdere og den borgernære ledelse", at medarbejderne har høj faglig tillid til hinanden og ledelsen i et trygt og samarbejdende miljø. Ledelsen understøtter det tværfaglige samarbejde </w:t>
            </w:r>
            <w:proofErr w:type="gramStart"/>
            <w:r w:rsidRPr="001C647D">
              <w:rPr>
                <w:rFonts w:ascii="Aptos" w:hAnsi="Aptos"/>
                <w:sz w:val="22"/>
              </w:rPr>
              <w:t>i blandt</w:t>
            </w:r>
            <w:proofErr w:type="gramEnd"/>
            <w:r w:rsidRPr="001C647D">
              <w:rPr>
                <w:rFonts w:ascii="Aptos" w:hAnsi="Aptos"/>
                <w:sz w:val="22"/>
              </w:rPr>
              <w:t xml:space="preserve"> medarbejderne, hvilket giver medarbejderne fagligt råderum i opgaveløsningen.</w:t>
            </w:r>
            <w:r w:rsidRPr="001C647D">
              <w:rPr>
                <w:rFonts w:ascii="Aptos" w:hAnsi="Aptos"/>
                <w:sz w:val="22"/>
              </w:rPr>
              <w:br/>
            </w:r>
            <w:r w:rsidRPr="001C647D">
              <w:rPr>
                <w:rFonts w:ascii="Aptos" w:hAnsi="Aptos"/>
                <w:sz w:val="22"/>
              </w:rPr>
              <w:br/>
              <w:t xml:space="preserve">• Ældretilsynet vurderer under temaet "et tæt samspil med pårørende, lokale fællesskaber og civilsamfund", at borgere og pårørende generelt oplever at blive inddraget, og medarbejderne arbejder systematisk med opstartsmøder, forventningsafstemning og samarbejde med pårørende og lokale tilbud. </w:t>
            </w:r>
            <w:r w:rsidRPr="001C647D">
              <w:rPr>
                <w:rFonts w:ascii="Aptos" w:hAnsi="Aptos"/>
                <w:sz w:val="22"/>
              </w:rPr>
              <w:br/>
            </w:r>
            <w:r w:rsidRPr="001C647D">
              <w:rPr>
                <w:rFonts w:ascii="Aptos" w:hAnsi="Aptos"/>
                <w:sz w:val="22"/>
              </w:rPr>
              <w:br/>
              <w:t>Ældretilsynet vurderer desuden, at leverandøren med fordel kan have fokus på følgende :</w:t>
            </w:r>
            <w:r w:rsidRPr="001C647D">
              <w:rPr>
                <w:rFonts w:ascii="Aptos" w:hAnsi="Aptos"/>
                <w:sz w:val="22"/>
              </w:rPr>
              <w:br/>
            </w:r>
            <w:r w:rsidRPr="001C647D">
              <w:rPr>
                <w:rFonts w:ascii="Aptos" w:hAnsi="Aptos"/>
                <w:sz w:val="22"/>
              </w:rPr>
              <w:br/>
              <w:t>• At anvende metoder, der tilgodeser den ældres selvbestemmelse hos borgere med særlige behov.</w:t>
            </w:r>
            <w:r w:rsidRPr="001C647D">
              <w:rPr>
                <w:rFonts w:ascii="Aptos" w:hAnsi="Aptos"/>
                <w:sz w:val="22"/>
              </w:rPr>
              <w:br/>
              <w:t>• At fastholde og udvikle eksisterende arbejdsgange, hvor en personcentreret tilgang understøtter udviklingen af meningsfulde aktiviteter for den enkelte borger i forhold til at deltage i meningsfulde fællesskaber og modvirke ensomhed</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Tema 1 - Den ældres selvbestemmelse.</w:t>
            </w:r>
            <w:r w:rsidRPr="001C647D">
              <w:rPr>
                <w:rFonts w:ascii="Aptos" w:hAnsi="Aptos"/>
                <w:sz w:val="22"/>
              </w:rPr>
              <w:br/>
              <w:t>Tema 2 - Tillid til medarbejdere og den borgernære ledelse.</w:t>
            </w:r>
            <w:r w:rsidRPr="001C647D">
              <w:rPr>
                <w:rFonts w:ascii="Aptos" w:hAnsi="Aptos"/>
                <w:sz w:val="22"/>
              </w:rPr>
              <w:br/>
              <w:t>Tema 3 - Et tæt samspil med pårørende, lokale fællesskaber og civilsamfund.</w:t>
            </w:r>
          </w:p>
          <w:p w14:paraId="27A8588E" w14:textId="77777777" w:rsidR="0012124F" w:rsidRDefault="0012124F" w:rsidP="00F15CE7">
            <w:pPr>
              <w:rPr>
                <w:rFonts w:ascii="Aptos" w:hAnsi="Aptos"/>
                <w:sz w:val="22"/>
              </w:rPr>
            </w:pPr>
          </w:p>
          <w:p w14:paraId="1A9FA702" w14:textId="77777777" w:rsidR="00487675" w:rsidRDefault="00487675" w:rsidP="00F15CE7">
            <w:pPr>
              <w:rPr>
                <w:rFonts w:ascii="Aptos" w:hAnsi="Aptos"/>
                <w:sz w:val="22"/>
              </w:rPr>
            </w:pPr>
          </w:p>
          <w:p w14:paraId="52C090BD" w14:textId="77777777" w:rsidR="00487675" w:rsidRPr="00764A3A" w:rsidRDefault="00487675"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335B9BE" w14:textId="262ED803" w:rsidR="00F15CE7" w:rsidRDefault="001C647D" w:rsidP="001C647D">
            <w:pPr>
              <w:spacing w:before="240"/>
              <w:rPr>
                <w:rFonts w:ascii="Aptos" w:hAnsi="Aptos"/>
                <w:sz w:val="22"/>
              </w:rPr>
            </w:pPr>
            <w:r w:rsidRPr="001C647D">
              <w:rPr>
                <w:rFonts w:ascii="Aptos" w:hAnsi="Aptos"/>
                <w:sz w:val="22"/>
              </w:rPr>
              <w:lastRenderedPageBreak/>
              <w:t>Ingen.</w:t>
            </w:r>
          </w:p>
          <w:p w14:paraId="4E097E86" w14:textId="77777777" w:rsidR="0012124F" w:rsidRDefault="0012124F" w:rsidP="00F15CE7">
            <w:pPr>
              <w:rPr>
                <w:rFonts w:ascii="Aptos" w:hAnsi="Aptos"/>
                <w:sz w:val="22"/>
              </w:rPr>
            </w:pPr>
          </w:p>
          <w:p w14:paraId="710286DE" w14:textId="77777777" w:rsidR="0012124F" w:rsidRPr="00764A3A" w:rsidRDefault="0012124F" w:rsidP="00F15CE7">
            <w:pPr>
              <w:rPr>
                <w:rFonts w:ascii="Aptos" w:hAnsi="Aptos"/>
                <w:sz w:val="22"/>
              </w:rPr>
            </w:pPr>
          </w:p>
        </w:tc>
      </w:tr>
    </w:tbl>
    <w:p w14:paraId="00B39C4B" w14:textId="77777777" w:rsidR="00163819" w:rsidRDefault="00163819" w:rsidP="00163819"/>
    <w:p w14:paraId="47E62184" w14:textId="49A60250" w:rsidR="00653405" w:rsidRPr="00BA2E29" w:rsidRDefault="00653405" w:rsidP="00BA2E29">
      <w:pPr>
        <w:pStyle w:val="Overskrift2"/>
        <w:rPr>
          <w:b/>
          <w:bCs/>
        </w:rPr>
      </w:pPr>
      <w:r w:rsidRPr="00BA2E29">
        <w:rPr>
          <w:b/>
          <w:bCs/>
        </w:rPr>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37EF865" w14:textId="4EFD6515" w:rsidR="00653405" w:rsidRPr="00764A3A" w:rsidRDefault="00825288" w:rsidP="006E4F59">
            <w:pPr>
              <w:spacing w:before="240"/>
              <w:rPr>
                <w:rFonts w:ascii="Aptos" w:hAnsi="Aptos"/>
                <w:sz w:val="22"/>
              </w:rPr>
            </w:pPr>
            <w:r w:rsidRPr="00825288">
              <w:rPr>
                <w:rFonts w:ascii="Aptos" w:hAnsi="Aptos"/>
                <w:sz w:val="22"/>
              </w:rPr>
              <w:t>Ældretilsynet vurderer, at leverandøren har god kvalitet i forhold til temaet "den ældres selvbestemmelse"</w:t>
            </w:r>
            <w:r w:rsidRPr="00825288">
              <w:rPr>
                <w:rFonts w:ascii="Aptos" w:hAnsi="Aptos"/>
                <w:sz w:val="22"/>
              </w:rPr>
              <w:br/>
              <w:t xml:space="preserve">Næsten 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Tre borgere fortæller i interviews, at medarbejderne er søde og imødekommende. Borgerne fortæller videre, at alle medarbejderne er venlige, når de kommer og hjælper. Dette understøttes i interview med pårørende. Ældretilsynet observerer under to forskellige morgenplejer, at medarbejderne imødekommer borgernes ønsker for hjælp. Begge medarbejdere skaber kontakt før opgaven ved blandt andet at lægge en hånd på borgerens skulder og se borgerne i øjnene. Ligeledes informerer begge medarbejdere borgerne om opgaven, de skal udføre hos dem, og medarbejderne tilpasser deres tempo og tilgang til den specifikke borger. Dette kan indikere, at medarbejderne samarbejder respektfuldt og værdigt med borgerne. Ældretilsynet vurderer derfor, at borger oplever at blive mødt med en respektfuld og værdig tone og adfærd.</w:t>
            </w:r>
            <w:r w:rsidRPr="00825288">
              <w:rPr>
                <w:rFonts w:ascii="Aptos" w:hAnsi="Aptos"/>
                <w:sz w:val="22"/>
              </w:rPr>
              <w:br/>
            </w:r>
            <w:r w:rsidRPr="00825288">
              <w:rPr>
                <w:rFonts w:ascii="Aptos" w:hAnsi="Aptos"/>
                <w:sz w:val="22"/>
              </w:rPr>
              <w:br/>
              <w:t xml:space="preserve">• Tre borgere fortæller i interviews, at det er de samme få medarbejdere, som kommer og hjælper med helhedsplejen. Dette understøttes i interview med pårørende, der ligeledes kender borgernes kontaktperson og den faste medarbejder, der kommer i hjemmet. Ældretilsynet observerer under tre morgenplejer, at medarbejderne bevæger </w:t>
            </w:r>
            <w:proofErr w:type="gramStart"/>
            <w:r w:rsidRPr="00825288">
              <w:rPr>
                <w:rFonts w:ascii="Aptos" w:hAnsi="Aptos"/>
                <w:sz w:val="22"/>
              </w:rPr>
              <w:t>sig</w:t>
            </w:r>
            <w:proofErr w:type="gramEnd"/>
            <w:r w:rsidRPr="00825288">
              <w:rPr>
                <w:rFonts w:ascii="Aptos" w:hAnsi="Aptos"/>
                <w:sz w:val="22"/>
              </w:rPr>
              <w:t xml:space="preserve"> </w:t>
            </w:r>
            <w:proofErr w:type="spellStart"/>
            <w:r w:rsidRPr="00825288">
              <w:rPr>
                <w:rFonts w:ascii="Aptos" w:hAnsi="Aptos"/>
                <w:sz w:val="22"/>
              </w:rPr>
              <w:t>hjemmevandt</w:t>
            </w:r>
            <w:proofErr w:type="spellEnd"/>
            <w:r w:rsidRPr="00825288">
              <w:rPr>
                <w:rFonts w:ascii="Aptos" w:hAnsi="Aptos"/>
                <w:sz w:val="22"/>
              </w:rPr>
              <w:t xml:space="preserve"> rundt i borgernes hjem. Borgerne smiler til medarbejderne, borgerne samarbejder med medarbejderne omkring dagens opgaver og borgeren ses lave sjov med medarbejderen. Dette kan indikere kontinuitet og et gensidigt kendskab mellem borgerne og medarbejderne.  Syv medarbejdere understøtter dette i interview og fortæller, at arbejdet organiseres i teams for at imødekomme kontinuitet, hvor de også fungerer som kontaktpersoner eller forløbsansvarlige for borgerne. Medarbejderne fortæller videre, at de har faste mødefora, hvor de har mulighed for faglig sparring og samarbejde med blandt andet terapeuterne og kompetence udviklende personale. Ledelsen supplerer med at fortælle i interview, at leverandøren har et fast oplært afløserteam, som indgår som en fast del af planlægningen sammen med medarbejderne. Ældretilsynet vurderer derfor, at leverandøren arbejder systematisk med at sikre, at der er kontinuitet i helhedsplejen samt færrest mulige forskellige medarbejdere i hjemmet.</w:t>
            </w:r>
            <w:r w:rsidRPr="00825288">
              <w:rPr>
                <w:rFonts w:ascii="Aptos" w:hAnsi="Aptos"/>
                <w:sz w:val="22"/>
              </w:rPr>
              <w:br/>
            </w:r>
            <w:r w:rsidRPr="00825288">
              <w:rPr>
                <w:rFonts w:ascii="Aptos" w:hAnsi="Aptos"/>
                <w:sz w:val="22"/>
              </w:rPr>
              <w:br/>
              <w:t>Ældretilsynet vurderer videre, at leverandøren på ét punkt har udfordringer i kvaliteten i forhold til temaet ”den ældres selvbestemmelse”.</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Ældretilsynet observerer under tilsynet, at medarbejderne anvender plejeenhedens elektroniske omsorgssystem. En medarbejder demonstrerer systemets opbygning, herunder døgnrytmeplanen, </w:t>
            </w:r>
            <w:r w:rsidRPr="00825288">
              <w:rPr>
                <w:rFonts w:ascii="Aptos" w:hAnsi="Aptos"/>
                <w:sz w:val="22"/>
              </w:rPr>
              <w:lastRenderedPageBreak/>
              <w:t xml:space="preserve">borgerens livshistorie og den individuelt tilpassede tilgang til en borger. Syv medarbejdere fortæller i interview, at de arbejder ud fra Aarhus Kommunes forløbsmodel, hvori medarbejderne ved opstartssamtalen indhenter oplysninger om borgerens livshistorie, mestring, vaner og ressourcer. Medarbejderne fortæller videre, at hvis de oplever forandringer ved borgerne, medarbejderne drøfter først ændringerne i teamet, og skulle der efterfølgende være behov for yderligere faglige drøftelser, henviser medarbejderne til, at borgerne kan komme på til borgerkonference. Medarbejderne fortæller </w:t>
            </w:r>
            <w:proofErr w:type="gramStart"/>
            <w:r w:rsidRPr="00825288">
              <w:rPr>
                <w:rFonts w:ascii="Aptos" w:hAnsi="Aptos"/>
                <w:sz w:val="22"/>
              </w:rPr>
              <w:t>endvidere</w:t>
            </w:r>
            <w:proofErr w:type="gramEnd"/>
            <w:r w:rsidRPr="00825288">
              <w:rPr>
                <w:rFonts w:ascii="Aptos" w:hAnsi="Aptos"/>
                <w:sz w:val="22"/>
              </w:rPr>
              <w:t xml:space="preserve">, at der årligt er en opfølgningssamtale med borgerne og pårørende. Medarbejderne kan dog ikke redegøre for konkrete metoder eller redskaber, når de adspurgt beskriver arbejdet med borgere med demens. Medarbejderne henviser primært til samarbejde med andre faggrupper såsom demenskonsulenten, APN-sygeplejersker og rehabiliterende team, når der er behov for en yderligere indsats. Dette understøttes i interview med ledelsen, der </w:t>
            </w:r>
            <w:proofErr w:type="gramStart"/>
            <w:r w:rsidRPr="00825288">
              <w:rPr>
                <w:rFonts w:ascii="Aptos" w:hAnsi="Aptos"/>
                <w:sz w:val="22"/>
              </w:rPr>
              <w:t>endvidere</w:t>
            </w:r>
            <w:proofErr w:type="gramEnd"/>
            <w:r w:rsidRPr="00825288">
              <w:rPr>
                <w:rFonts w:ascii="Aptos" w:hAnsi="Aptos"/>
                <w:sz w:val="22"/>
              </w:rPr>
              <w:t xml:space="preserve"> fortæller, at to medarbejdere har været på kursus som kulturbærere for ældrelovens nye arbejdsgange og tilhørende redskaber, men at implementeringen endnu ikke er igangsat. Ledelsen forventer, at implementeringen er igangsat inden sommeren 2026 Ældretilsynet vurderer derfor, at leverandøren aktuelt ikke arbejder systematisk med metoder, der tilgodeser selvbestemmelsen hos borgere med særlige behov såsom borgere med demenssygdomme, andre kognitive funktionsnedsættelser, psykiske lidelser, misbrug m.fl.</w:t>
            </w:r>
            <w:r w:rsidRPr="00825288">
              <w:rPr>
                <w:rFonts w:ascii="Aptos" w:hAnsi="Aptos"/>
                <w:sz w:val="22"/>
              </w:rPr>
              <w:br/>
            </w:r>
            <w:r w:rsidRPr="00825288">
              <w:rPr>
                <w:rFonts w:ascii="Aptos" w:hAnsi="Aptos"/>
                <w:sz w:val="22"/>
              </w:rPr>
              <w:br/>
              <w:t>Ældretilsynet vurderer, at leverandøren med fordel kan have fokus på den forestående implementering og forankring af metoder, der tilgodeser den ældres selvbestemmelse hos borgere med særlige behov såsom f.eks. Borgere med demenssygdomme</w:t>
            </w:r>
          </w:p>
          <w:p w14:paraId="084ADBD5" w14:textId="77777777" w:rsidR="00336A9E" w:rsidRPr="00764A3A" w:rsidRDefault="00336A9E" w:rsidP="00D65541">
            <w:pPr>
              <w:rPr>
                <w:rFonts w:ascii="Aptos" w:hAnsi="Aptos"/>
                <w:sz w:val="22"/>
              </w:rPr>
            </w:pPr>
          </w:p>
          <w:p w14:paraId="4676EEC8" w14:textId="77777777" w:rsidR="00336A9E" w:rsidRPr="00764A3A" w:rsidRDefault="00336A9E" w:rsidP="00D65541">
            <w:pPr>
              <w:rPr>
                <w:rFonts w:ascii="Aptos" w:hAnsi="Aptos"/>
                <w:sz w:val="22"/>
              </w:rPr>
            </w:pPr>
          </w:p>
          <w:p w14:paraId="06E2CDF8" w14:textId="77777777" w:rsidR="00336A9E" w:rsidRPr="00764A3A" w:rsidRDefault="00336A9E" w:rsidP="00D65541">
            <w:pPr>
              <w:rPr>
                <w:rFonts w:ascii="Aptos" w:hAnsi="Aptos"/>
                <w:sz w:val="22"/>
              </w:rPr>
            </w:pPr>
          </w:p>
          <w:p w14:paraId="2FF86B06" w14:textId="77777777" w:rsidR="00336A9E" w:rsidRPr="00764A3A" w:rsidRDefault="00336A9E" w:rsidP="00D65541">
            <w:pPr>
              <w:rPr>
                <w:rFonts w:ascii="Aptos" w:hAnsi="Aptos"/>
                <w:sz w:val="22"/>
              </w:rPr>
            </w:pP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Ældretilsynet vurderer, at leverandøren har god kvalitet i forhold til temaet "tillid til medarbejdere og den borgernære ledelse"</w:t>
            </w:r>
            <w:r w:rsidRPr="00825288">
              <w:rPr>
                <w:rFonts w:ascii="Aptos" w:hAnsi="Aptos"/>
                <w:sz w:val="22"/>
              </w:rPr>
              <w:br/>
              <w:t xml:space="preserve">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Ældretilsynet observerer et vagtstartsmøde, hvor medarbejderne fagligt drøfter ændringer hos borgere, som medarbejderne har dokumenteret nye observationer på. Den koordinerende medarbejder uddelegerer opgaver, som kollegerne efterfølgende følger op på. Medarbejderne indgår i faglige drøftelser om borgernes behov og de handlinger, som medarbejderne skal iværksætte, og de udveksler viden om borgerne og hinandens faglige kompetencer. Dette kan indikere, at medarbejderne har tillid til hinandens faglighed og til samarbejdet. Syv medarbejdere fortæller i interview, at de har stor faglig tillid til deres kolleger. Medarbejderne fortæller </w:t>
            </w:r>
            <w:proofErr w:type="gramStart"/>
            <w:r w:rsidRPr="00825288">
              <w:rPr>
                <w:rFonts w:ascii="Aptos" w:hAnsi="Aptos"/>
                <w:sz w:val="22"/>
              </w:rPr>
              <w:t>endvidere</w:t>
            </w:r>
            <w:proofErr w:type="gramEnd"/>
            <w:r w:rsidRPr="00825288">
              <w:rPr>
                <w:rFonts w:ascii="Aptos" w:hAnsi="Aptos"/>
                <w:sz w:val="22"/>
              </w:rPr>
              <w:t>, at de i medarbejdergruppen oplever tryghed til at kunne sige til og fra i forhold til de enkelte opgaver. Medarbejderne fortæller desuden i interview, at der er tillid til ledelsen, blandt andet fordi lederen er konkret i sin kommunikation og sikrer at alle medarbejdere modtager samme information samtidigt samt er tilgængelig for medarbejderne i hverdagen. Ved fravær af lederen er der en klar arbejdsgang for, hvad medarbejderne skal gøre og hvem de kan kontakte. Dette understøttes i interview med ledelsen. Ældretilsynet vurderer derfor, at medarbejderne udtrykker tillid til samarbejdet med hinanden og ledelsen.</w:t>
            </w:r>
            <w:r w:rsidRPr="00825288">
              <w:rPr>
                <w:rFonts w:ascii="Aptos" w:hAnsi="Aptos"/>
                <w:sz w:val="22"/>
              </w:rPr>
              <w:br/>
            </w:r>
            <w:r w:rsidRPr="00825288">
              <w:rPr>
                <w:rFonts w:ascii="Aptos" w:hAnsi="Aptos"/>
                <w:sz w:val="22"/>
              </w:rPr>
              <w:lastRenderedPageBreak/>
              <w:br/>
            </w:r>
            <w:r w:rsidRPr="00825288">
              <w:rPr>
                <w:rFonts w:ascii="Aptos" w:hAnsi="Aptos"/>
                <w:sz w:val="22"/>
              </w:rPr>
              <w:br/>
              <w:t xml:space="preserve">• Ældretilsynet observerer et planlægningsmøde, hvor medarbejderne selv varetager planlægningen af deres køreplaner. Medarbejderne sidder i deres team og går enkeltvis op til en storskærm, hvor de tilpasser dagens besøg. Dette giver teamet et fælles overblik over kollegaernes køreplaner. En medarbejder demonstrerer, for ældretilsynet, et indgående kendskab til borgerne og forklarer, at besøget tilpasses for at imødekomme borgerens ønsker. Medarbejderen placerer </w:t>
            </w:r>
            <w:proofErr w:type="gramStart"/>
            <w:r w:rsidRPr="00825288">
              <w:rPr>
                <w:rFonts w:ascii="Aptos" w:hAnsi="Aptos"/>
                <w:sz w:val="22"/>
              </w:rPr>
              <w:t>eksempelvis</w:t>
            </w:r>
            <w:proofErr w:type="gramEnd"/>
            <w:r w:rsidRPr="00825288">
              <w:rPr>
                <w:rFonts w:ascii="Aptos" w:hAnsi="Aptos"/>
                <w:sz w:val="22"/>
              </w:rPr>
              <w:t xml:space="preserve"> et besøg tidligere på dagen, da borgeren får besøg af sygeplejersken og har et ønske om bad forud herfor. Dette kan indikere, at medarbejderne har indgående kendskab til borgerne og tilrettelægger hjælpen med udgangspunkt i borgernes ønsker og behov. Dette understøttes i interview med medarbejderne der fortæller, at de i den daglige planlægning systematisk prioriterer faste medarbejdere hos borgeren for at skabe ro og tryghed, og at de samtidig prioriterer borgernes behov højt. Medarbejdere fortæller </w:t>
            </w:r>
            <w:proofErr w:type="gramStart"/>
            <w:r w:rsidRPr="00825288">
              <w:rPr>
                <w:rFonts w:ascii="Aptos" w:hAnsi="Aptos"/>
                <w:sz w:val="22"/>
              </w:rPr>
              <w:t>endvidere</w:t>
            </w:r>
            <w:proofErr w:type="gramEnd"/>
            <w:r w:rsidRPr="00825288">
              <w:rPr>
                <w:rFonts w:ascii="Aptos" w:hAnsi="Aptos"/>
                <w:sz w:val="22"/>
              </w:rPr>
              <w:t xml:space="preserve"> at de har mulighed for at støtte sig til deres kollegaer, hvis der opstår tidspres i opgaveløsningen. Medarbejderne fortæller </w:t>
            </w:r>
            <w:proofErr w:type="gramStart"/>
            <w:r w:rsidRPr="00825288">
              <w:rPr>
                <w:rFonts w:ascii="Aptos" w:hAnsi="Aptos"/>
                <w:sz w:val="22"/>
              </w:rPr>
              <w:t>endvidere</w:t>
            </w:r>
            <w:proofErr w:type="gramEnd"/>
            <w:r w:rsidRPr="00825288">
              <w:rPr>
                <w:rFonts w:ascii="Aptos" w:hAnsi="Aptos"/>
                <w:sz w:val="22"/>
              </w:rPr>
              <w:t>, at to medarbejdere varetager "kald-telefonerne" og samtidig har overblik over kollegaernes ruter. De har dermed en koordinerende funktion og vurderer løbende, hvilken kollega, der kan støtte ved tidspres. Dette understøttes i interview med ledelsen. Ældretilsynet vurderer derfor, at medarbejderne har medbestemmelse i tilrettelæggelse og udførelse af hjælpen samt fagligt råderum til at tilpasse hjælpen ud fra borgerens behov</w:t>
            </w:r>
          </w:p>
          <w:p w14:paraId="00B9CDBF" w14:textId="77777777" w:rsidR="00336A9E" w:rsidRPr="00764A3A" w:rsidRDefault="00336A9E" w:rsidP="00D65541">
            <w:pPr>
              <w:rPr>
                <w:rFonts w:ascii="Aptos" w:hAnsi="Aptos"/>
                <w:sz w:val="22"/>
              </w:rPr>
            </w:pPr>
          </w:p>
          <w:p w14:paraId="49C92649" w14:textId="77777777" w:rsidR="00336A9E" w:rsidRPr="00764A3A" w:rsidRDefault="00336A9E" w:rsidP="00D65541">
            <w:pPr>
              <w:rPr>
                <w:rFonts w:ascii="Aptos" w:hAnsi="Aptos"/>
                <w:sz w:val="22"/>
              </w:rPr>
            </w:pP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44D6852" w14:textId="70D7B4F6" w:rsidR="00653405" w:rsidRDefault="00653405" w:rsidP="00BA2E29">
      <w:pPr>
        <w:pStyle w:val="Overskrift3"/>
      </w:pPr>
      <w:r>
        <w:t xml:space="preserve">Tema 3 – </w:t>
      </w:r>
      <w:r w:rsidR="00265483">
        <w:t>Et tæt s</w:t>
      </w:r>
      <w:r>
        <w:t>amspil med</w:t>
      </w:r>
      <w:r w:rsidR="00265483">
        <w:t xml:space="preserve"> de</w:t>
      </w:r>
      <w:r>
        <w:t xml:space="preserve">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"et tæt samspil med pårørende, lokale fællesskaber og civilsamfund". </w:t>
            </w:r>
            <w:r w:rsidRPr="00825288">
              <w:rPr>
                <w:rFonts w:ascii="Aptos" w:hAnsi="Aptos"/>
                <w:sz w:val="22"/>
              </w:rPr>
              <w:br/>
              <w:t xml:space="preserve">Næsten 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Tre borgere fortæller i interviews, at de er tilfredse med den måde medarbejderne inddrager pårørende på. Borgerne er alle tilfredse med de aktiviteter, de nu kan deltage i. Dette understøttes i interview med pårørende. Syv medarbejdere fortæller i interview, at de ved opstart af nye borgere afholder et opstartsmøde, hvor medarbejderne inviterer pårørende til at deltage. Opstartsmødet tager udgangspunkt i Aarhus Kommunes forløbsmodel med fokus på borgerinddragelse og forventningsafstemning med pårørende. I forbindelse med opstartsmødet afklares praktiske forhold, og medarbejderne indhenter viden om borgerens vaner, livshistorie og ønsker. Medarbejderne forventningsafstemmer med de pårørende, hvordan de ønsker at blive inddraget i forløbet. De aftaler også, i hvilket omfang inddragelsen skal ske. Dette sker i overensstemmelse med borgerens ønsker. Medarbejderne fortæller dertil, at pårørende ofte bidrager med væsentlige informationer, som anvendes til at tilpasse helhedsplejen til borgeren. Medarbejderne fortæller desuden, at de samarbejder blandt andet med frivillighedskoordinatoren i Aarhus Kommune, Røde kors og "Folkehuset". Medarbejderne fortæller </w:t>
            </w:r>
            <w:proofErr w:type="gramStart"/>
            <w:r w:rsidRPr="00825288">
              <w:rPr>
                <w:rFonts w:ascii="Aptos" w:hAnsi="Aptos"/>
                <w:sz w:val="22"/>
              </w:rPr>
              <w:t>endvidere</w:t>
            </w:r>
            <w:proofErr w:type="gramEnd"/>
            <w:r w:rsidRPr="00825288">
              <w:rPr>
                <w:rFonts w:ascii="Aptos" w:hAnsi="Aptos"/>
                <w:sz w:val="22"/>
              </w:rPr>
              <w:t xml:space="preserve">, at der er andre samarbejdspartner i området, som de samarbejder med. F.eks. modtager flere borgere aktuelt støtte til at komme på væresteder i lokalområdet. Dette understøttes i interview med ledelsen, der </w:t>
            </w:r>
            <w:proofErr w:type="gramStart"/>
            <w:r w:rsidRPr="00825288">
              <w:rPr>
                <w:rFonts w:ascii="Aptos" w:hAnsi="Aptos"/>
                <w:sz w:val="22"/>
              </w:rPr>
              <w:t>endvidere</w:t>
            </w:r>
            <w:proofErr w:type="gramEnd"/>
            <w:r w:rsidRPr="00825288">
              <w:rPr>
                <w:rFonts w:ascii="Aptos" w:hAnsi="Aptos"/>
                <w:sz w:val="22"/>
              </w:rPr>
              <w:t xml:space="preserve"> fortæller, at der årligt er opfølgningssamtaler med borgerne og kontaktpersonerne. Ældretilsynet vurderer derfor, at leverandøren arbejder systematisk med inddragelse af pårørende, lokale fællesskab og civilsamfund, i det omfang borgeren ønsker det.</w:t>
            </w:r>
            <w:r w:rsidRPr="00825288">
              <w:rPr>
                <w:rFonts w:ascii="Aptos" w:hAnsi="Aptos"/>
                <w:sz w:val="22"/>
              </w:rPr>
              <w:br/>
            </w:r>
            <w:r w:rsidRPr="00825288">
              <w:rPr>
                <w:rFonts w:ascii="Aptos" w:hAnsi="Aptos"/>
                <w:sz w:val="22"/>
              </w:rPr>
              <w:lastRenderedPageBreak/>
              <w:br/>
              <w:t xml:space="preserve">• Tre pårørende fortæller i interviews, at de føler sig inddraget, men at der ikke har været en systematik i forhold til opfølgningsmøder. En pårørende fortæller at der ved opstart var møde med medarbejderne omkring den kommende hjælp i hjemmet. Alle tre pårørende fortæller, at de medarbejdere, der kommer i </w:t>
            </w:r>
            <w:proofErr w:type="gramStart"/>
            <w:r w:rsidRPr="00825288">
              <w:rPr>
                <w:rFonts w:ascii="Aptos" w:hAnsi="Aptos"/>
                <w:sz w:val="22"/>
              </w:rPr>
              <w:t>hjemmet</w:t>
            </w:r>
            <w:proofErr w:type="gramEnd"/>
            <w:r w:rsidRPr="00825288">
              <w:rPr>
                <w:rFonts w:ascii="Aptos" w:hAnsi="Aptos"/>
                <w:sz w:val="22"/>
              </w:rPr>
              <w:t xml:space="preserve"> er venlige og informative. En pårørende fortæller, at vedkommende løbende har dialog med medarbejderne og ledelsen omkring hvordan vedkommende ønsker at medarbejderne inddrager vedkommende. F.eks. rejser vedkommende ofte nogle dage og her har borgeren behov for øget hjælp. Dette har pårørende og medarbejderne en samtale </w:t>
            </w:r>
            <w:proofErr w:type="gramStart"/>
            <w:r w:rsidRPr="00825288">
              <w:rPr>
                <w:rFonts w:ascii="Aptos" w:hAnsi="Aptos"/>
                <w:sz w:val="22"/>
              </w:rPr>
              <w:t>omkring</w:t>
            </w:r>
            <w:proofErr w:type="gramEnd"/>
            <w:r w:rsidRPr="00825288">
              <w:rPr>
                <w:rFonts w:ascii="Aptos" w:hAnsi="Aptos"/>
                <w:sz w:val="22"/>
              </w:rPr>
              <w:t>, inden vedkommende rejser. En anden pårørende, oplever, at vedkommende ikke bliver tilstrækkeligt inddraget, men at vedkommende ej heller har informeret medarbejderne omkring dette. Ældretilsynet vurderer derfor at pårørende overordnet set oplever at blive inddraget, hvor det er relevant</w:t>
            </w:r>
            <w:r w:rsidRPr="00825288">
              <w:rPr>
                <w:rFonts w:ascii="Aptos" w:hAnsi="Aptos"/>
                <w:sz w:val="22"/>
              </w:rPr>
              <w:br/>
            </w:r>
            <w:r w:rsidRPr="00825288">
              <w:rPr>
                <w:rFonts w:ascii="Aptos" w:hAnsi="Aptos"/>
                <w:sz w:val="22"/>
              </w:rPr>
              <w:br/>
              <w:t>Ældretilsynet vurderer videre, at plejeenheden med fordel kan have fokus på at styrke kommunikationen til pårørende omkring den eksisterende systematik i samarbejdet. Flere pårørende er ikke bekendte med de faste arbejdsgange, hvilket gør det mindre tydeligt for dem, hvordan og hvornår de forventes inddraget.</w:t>
            </w:r>
            <w:r w:rsidRPr="00825288">
              <w:rPr>
                <w:rFonts w:ascii="Aptos" w:hAnsi="Aptos"/>
                <w:sz w:val="22"/>
              </w:rPr>
              <w:br/>
            </w:r>
            <w:r w:rsidRPr="00825288">
              <w:rPr>
                <w:rFonts w:ascii="Aptos" w:hAnsi="Aptos"/>
                <w:sz w:val="22"/>
              </w:rPr>
              <w:br/>
              <w:t>Fokuspunktet er drøftet med ledelsen</w:t>
            </w:r>
            <w:r w:rsidRPr="00825288">
              <w:rPr>
                <w:rFonts w:ascii="Aptos" w:hAnsi="Aptos"/>
                <w:sz w:val="22"/>
              </w:rPr>
              <w:br/>
            </w:r>
            <w:r w:rsidRPr="00825288">
              <w:rPr>
                <w:rFonts w:ascii="Aptos" w:hAnsi="Aptos"/>
                <w:sz w:val="22"/>
              </w:rPr>
              <w:br/>
              <w:t xml:space="preserve">Ældretilsynet vurderer videre, at leverandøren på ét punkt har udfordringer i kvaliteten i forhold til temaet "et tæt samspil med pårørende, lokale fællesskaber og civilsamfund".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Tre borgere giver udtryk for begrænsninger i forhold til sociale fællesskaber og aktiviteter. To borgere oplever ensomhed eller mangel på fællesskaber, de kan deltage i, mens en tredje borger beskriver, at vedkommendes tilstand begrænser deltagelsen i aktiviteter og efterlyser et øget fokus på relevante tilbud, der kan modvirke ensomhed. Derudover fortæller en borger, at pårørende undersøger mulighederne for lokale aktiviteter. Én borger angiver dog tilfredshed med de aktiviteter, vedkommende deltager i, som er tilpasset egne interesse. Tre pårørende fortæller i interviews, at borgerne ofte har udtrykt ensomhed, men at det har været svært at aktivere borgerne til deltagelse i de tilbudte aktiviteter. Syv medarbejdere understøtter dette i interview, hvor de fortæller, at medarbejderne minimum en gang årligt ajourfører borgerens ønsker og at de arbejder ud fra livshistorie, kendskab til borgeren og borgerens interesser. Medarbejderne fortæller videre, at de f.eks. har samarbejde med Røde Kors, hvor medlemmerne blandt andet melder sig som besøgsvenner. Medarbejderne fortæller også, at de har samarbejde med det lokale "Folkehus", "Genlyd" og Frivillighedskoordinatoren i Aarhus Kommune. Dog kan medarbejderne ikke redegøre for, hvornår de inddrager samarbejdspartnerne ej heller hvornår de tilbyder aktiviteter til borgerne, </w:t>
            </w:r>
            <w:proofErr w:type="gramStart"/>
            <w:r w:rsidRPr="00825288">
              <w:rPr>
                <w:rFonts w:ascii="Aptos" w:hAnsi="Aptos"/>
                <w:sz w:val="22"/>
              </w:rPr>
              <w:t>medmindre at</w:t>
            </w:r>
            <w:proofErr w:type="gramEnd"/>
            <w:r w:rsidRPr="00825288">
              <w:rPr>
                <w:rFonts w:ascii="Aptos" w:hAnsi="Aptos"/>
                <w:sz w:val="22"/>
              </w:rPr>
              <w:t xml:space="preserve"> borgerne selv udtrykker ønske herom. Dette understøttes af interview med ledelsen, som oplyser, at Aarhus Kommune stiller en faglig portal til rådighed med et bredt udbud af aktiviteter, blandt andet med henblik på at modvirke ensomhed. Ledelsen tilføjer, at de ønsker, at denne viden bringes i spil i medarbejdergruppen, og at den derfor vil blive taget op på førstkommende teammøder. Ældretilsynet vurderer derfor, at leverandøren er i en proces med at styrke samspillet med lokale fællesskaber og civilsamfund ift. at understøtte borgerne i at deltage i meningsfulde fællesskaber og modvirke ensomhed.</w:t>
            </w:r>
            <w:r w:rsidRPr="00825288">
              <w:rPr>
                <w:rFonts w:ascii="Aptos" w:hAnsi="Aptos"/>
                <w:sz w:val="22"/>
              </w:rPr>
              <w:br/>
            </w:r>
            <w:r w:rsidRPr="00825288">
              <w:rPr>
                <w:rFonts w:ascii="Aptos" w:hAnsi="Aptos"/>
                <w:sz w:val="22"/>
              </w:rPr>
              <w:br/>
              <w:t>Ældretilsynet vurderer, at leverandøren med fordel kan have fokus på at fastholde og forankre eksisterende arbejdsgange yderligere, hvor en personcentreret tilgang understøtter iværksættelsen af meningsfulde aktiviteter for den enkelte borger i forhold til at deltage i meningsfulde fællesskaber og modvirke ensomhed.</w:t>
            </w:r>
          </w:p>
          <w:p w14:paraId="1554E4A6" w14:textId="77777777" w:rsidR="00336A9E" w:rsidRPr="00764A3A" w:rsidRDefault="00336A9E" w:rsidP="00D65541">
            <w:pPr>
              <w:rPr>
                <w:rFonts w:ascii="Aptos" w:hAnsi="Aptos"/>
                <w:sz w:val="22"/>
              </w:rPr>
            </w:pPr>
          </w:p>
          <w:p w14:paraId="79E04C46" w14:textId="77777777" w:rsidR="00336A9E" w:rsidRPr="00764A3A" w:rsidRDefault="00336A9E" w:rsidP="00D65541">
            <w:pPr>
              <w:rPr>
                <w:rFonts w:ascii="Aptos" w:hAnsi="Aptos"/>
                <w:sz w:val="22"/>
              </w:rPr>
            </w:pPr>
          </w:p>
        </w:tc>
      </w:tr>
    </w:tbl>
    <w:p w14:paraId="315E8854" w14:textId="77777777" w:rsidR="00C54736" w:rsidRDefault="00C54736" w:rsidP="0043343D">
      <w:pPr>
        <w:spacing w:line="240" w:lineRule="auto"/>
      </w:pPr>
    </w:p>
    <w:p w14:paraId="48CDC309" w14:textId="4B41AB89" w:rsidR="00E53D04" w:rsidRPr="0095410B" w:rsidRDefault="00E53D04" w:rsidP="0043343D">
      <w:pPr>
        <w:pStyle w:val="Overskrift1"/>
        <w:spacing w:before="0"/>
      </w:pPr>
      <w:r w:rsidRPr="0095410B">
        <w:t>Vurderingskonceptet</w:t>
      </w:r>
    </w:p>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lastRenderedPageBreak/>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Ikke opfyldt</w:t>
            </w:r>
          </w:p>
        </w:tc>
        <w:tc>
          <w:tcPr>
            <w:tcW w:w="3686" w:type="dxa"/>
          </w:tcPr>
          <w:p w14:paraId="68D0BCED" w14:textId="3075CADE" w:rsidR="009934C1" w:rsidRPr="00764A3A" w:rsidRDefault="00401302" w:rsidP="006724AE">
            <w:pPr>
              <w:rPr>
                <w:rFonts w:ascii="Aptos" w:hAnsi="Aptos"/>
                <w:sz w:val="22"/>
              </w:rPr>
            </w:pPr>
            <w:r w:rsidRPr="00401302">
              <w:rPr>
                <w:rFonts w:ascii="Aptos" w:hAnsi="Aptos"/>
                <w:sz w:val="22"/>
              </w:rPr>
              <w:t>Syv medarbejdere kan ikke redegøre for konkrete metoder eller redskaber, når de adspurgt beskriver arbejdet med borgere med demens. Medarbejderne henviser primært til samarbejde med andre faggrupper såsom demenskonsulenten, APN-sygeplejersker og rehabiliterende team, når der er behov for en yderligere indsats. Ledelsen kan adspurgt heller ikke redegøre for konkrete redskaber eller metoder der anvendes i plejen til borgere med demens.</w:t>
            </w: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1FC7D52E" w14:textId="5550040A" w:rsidR="00D96AB4" w:rsidRDefault="00D96AB4" w:rsidP="00C54736">
      <w:r>
        <w:rPr>
          <w:noProof/>
        </w:rPr>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2">
                      <a:extLst>
                        <a:ext uri="{96DAC541-7B7A-43D3-8B79-37D633B846F1}">
                          <asvg:svgBlip xmlns:asvg="http://schemas.microsoft.com/office/drawing/2016/SVG/main" r:embed="rId1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w:t>
            </w:r>
            <w:r w:rsidRPr="00764A3A">
              <w:rPr>
                <w:rFonts w:ascii="Aptos" w:hAnsi="Aptos"/>
                <w:sz w:val="22"/>
                <w:szCs w:val="22"/>
              </w:rPr>
              <w:lastRenderedPageBreak/>
              <w:t xml:space="preserve">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lastRenderedPageBreak/>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t>Opfyldt</w:t>
            </w:r>
          </w:p>
        </w:tc>
        <w:tc>
          <w:tcPr>
            <w:tcW w:w="3686" w:type="dxa"/>
          </w:tcPr>
          <w:p w14:paraId="3AF9D6E3" w14:textId="03FA2EBB" w:rsidR="00EE649C" w:rsidRPr="00764A3A" w:rsidRDefault="00EE649C" w:rsidP="00EE649C">
            <w:pPr>
              <w:rPr>
                <w:rFonts w:ascii="Aptos" w:hAnsi="Aptos"/>
                <w:sz w:val="22"/>
              </w:rPr>
            </w:pPr>
          </w:p>
        </w:tc>
      </w:tr>
    </w:tbl>
    <w:p w14:paraId="218FE107" w14:textId="2D0F8079" w:rsidR="00D96AB4" w:rsidRDefault="00D96AB4" w:rsidP="00C54736">
      <w:r>
        <w:rPr>
          <w:noProof/>
        </w:rPr>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4">
                      <a:extLst>
                        <a:ext uri="{96DAC541-7B7A-43D3-8B79-37D633B846F1}">
                          <asvg:svgBlip xmlns:asvg="http://schemas.microsoft.com/office/drawing/2016/SVG/main" r:embed="rId15"/>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lastRenderedPageBreak/>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Plejeenheden/leverandøren har et samspil med lokale fællesskaber og civilsamfund i forhold til at understøtte borgerne i at deltage i 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t>Ikke opfyldt</w:t>
            </w:r>
          </w:p>
        </w:tc>
        <w:tc>
          <w:tcPr>
            <w:tcW w:w="3686" w:type="dxa"/>
          </w:tcPr>
          <w:p w14:paraId="1839BEFC" w14:textId="7E047923" w:rsidR="00A9069C" w:rsidRPr="00764A3A" w:rsidRDefault="00F34EBC" w:rsidP="006724AE">
            <w:pPr>
              <w:rPr>
                <w:rFonts w:ascii="Aptos" w:hAnsi="Aptos"/>
                <w:sz w:val="22"/>
              </w:rPr>
            </w:pPr>
            <w:r w:rsidRPr="00F34EBC">
              <w:rPr>
                <w:rFonts w:ascii="Aptos" w:hAnsi="Aptos"/>
                <w:sz w:val="22"/>
              </w:rPr>
              <w:t xml:space="preserve">To borgere udtrykker ensomhed og efterspørger fællesskaber der er relevante for dem. Syv medarbejdere fortæller at de ved opstart er interesseret </w:t>
            </w:r>
            <w:proofErr w:type="gramStart"/>
            <w:r w:rsidRPr="00F34EBC">
              <w:rPr>
                <w:rFonts w:ascii="Aptos" w:hAnsi="Aptos"/>
                <w:sz w:val="22"/>
              </w:rPr>
              <w:t>i,</w:t>
            </w:r>
            <w:proofErr w:type="gramEnd"/>
            <w:r w:rsidRPr="00F34EBC">
              <w:rPr>
                <w:rFonts w:ascii="Aptos" w:hAnsi="Aptos"/>
                <w:sz w:val="22"/>
              </w:rPr>
              <w:t xml:space="preserve"> at kende til borgernes interesser, men at der efterfølgende ikke systematisk bliver fulgt op på om borgerne er ensomme. Ledelsen fortæller at medarbejderne vil arbejde med Aarhus kommunes værktøjer for modarbejdelse af ensomhed.</w:t>
            </w: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6"/>
      <w:footerReference w:type="default" r:id="rId17"/>
      <w:footerReference w:type="first" r:id="rId18"/>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E0D9" w14:textId="77777777" w:rsidR="00D01A9B" w:rsidRDefault="00D01A9B" w:rsidP="006E0517">
      <w:pPr>
        <w:spacing w:after="0" w:line="240" w:lineRule="auto"/>
      </w:pPr>
      <w:r>
        <w:separator/>
      </w:r>
    </w:p>
  </w:endnote>
  <w:endnote w:type="continuationSeparator" w:id="0">
    <w:p w14:paraId="67BA6320" w14:textId="77777777" w:rsidR="00D01A9B" w:rsidRDefault="00D01A9B"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Content>
      <w:sdt>
        <w:sdtPr>
          <w:id w:val="-1769616900"/>
          <w:docPartObj>
            <w:docPartGallery w:val="Page Numbers (Top of Page)"/>
            <w:docPartUnique/>
          </w:docPartObj>
        </w:sdt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08-05-2026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6BDE" w14:textId="77777777" w:rsidR="00D01A9B" w:rsidRDefault="00D01A9B" w:rsidP="006E0517">
      <w:pPr>
        <w:spacing w:after="0" w:line="240" w:lineRule="auto"/>
      </w:pPr>
      <w:r>
        <w:separator/>
      </w:r>
    </w:p>
  </w:footnote>
  <w:footnote w:type="continuationSeparator" w:id="0">
    <w:p w14:paraId="75066FDF" w14:textId="77777777" w:rsidR="00D01A9B" w:rsidRDefault="00D01A9B"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87F40"/>
    <w:rsid w:val="00090CEE"/>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133B8"/>
    <w:rsid w:val="00232852"/>
    <w:rsid w:val="00244414"/>
    <w:rsid w:val="00251654"/>
    <w:rsid w:val="00252A8A"/>
    <w:rsid w:val="002555A6"/>
    <w:rsid w:val="00265483"/>
    <w:rsid w:val="00296EDA"/>
    <w:rsid w:val="002A2295"/>
    <w:rsid w:val="002C615F"/>
    <w:rsid w:val="002D3E25"/>
    <w:rsid w:val="002D3E41"/>
    <w:rsid w:val="002D4E67"/>
    <w:rsid w:val="002F13FD"/>
    <w:rsid w:val="0032362B"/>
    <w:rsid w:val="00332E82"/>
    <w:rsid w:val="0033578A"/>
    <w:rsid w:val="00336A9E"/>
    <w:rsid w:val="00371F14"/>
    <w:rsid w:val="003977BD"/>
    <w:rsid w:val="003B3C6E"/>
    <w:rsid w:val="003C5802"/>
    <w:rsid w:val="003C6C0D"/>
    <w:rsid w:val="003D483A"/>
    <w:rsid w:val="003E1B3F"/>
    <w:rsid w:val="00401302"/>
    <w:rsid w:val="0041688F"/>
    <w:rsid w:val="00426CDB"/>
    <w:rsid w:val="00432E19"/>
    <w:rsid w:val="0043343D"/>
    <w:rsid w:val="00447B5B"/>
    <w:rsid w:val="00456A6D"/>
    <w:rsid w:val="004839AA"/>
    <w:rsid w:val="00487675"/>
    <w:rsid w:val="004B0F4E"/>
    <w:rsid w:val="004D1A23"/>
    <w:rsid w:val="004D358B"/>
    <w:rsid w:val="004D5A28"/>
    <w:rsid w:val="00502338"/>
    <w:rsid w:val="00502C49"/>
    <w:rsid w:val="00503C42"/>
    <w:rsid w:val="00515563"/>
    <w:rsid w:val="00523E38"/>
    <w:rsid w:val="00537024"/>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A3A0F"/>
    <w:rsid w:val="006D0924"/>
    <w:rsid w:val="006E0517"/>
    <w:rsid w:val="006E2EC1"/>
    <w:rsid w:val="006E4F59"/>
    <w:rsid w:val="006E69E3"/>
    <w:rsid w:val="006E7082"/>
    <w:rsid w:val="00700AC4"/>
    <w:rsid w:val="00706EC6"/>
    <w:rsid w:val="007127F8"/>
    <w:rsid w:val="00715B44"/>
    <w:rsid w:val="00716929"/>
    <w:rsid w:val="00716E09"/>
    <w:rsid w:val="0072613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20E4"/>
    <w:rsid w:val="00865E1C"/>
    <w:rsid w:val="00871030"/>
    <w:rsid w:val="00890FC3"/>
    <w:rsid w:val="008963A2"/>
    <w:rsid w:val="008A7AB5"/>
    <w:rsid w:val="008C0340"/>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3E92"/>
    <w:rsid w:val="009E10EB"/>
    <w:rsid w:val="009E3EA0"/>
    <w:rsid w:val="009E3FD0"/>
    <w:rsid w:val="009E505F"/>
    <w:rsid w:val="00A112AB"/>
    <w:rsid w:val="00A24D57"/>
    <w:rsid w:val="00A41D4F"/>
    <w:rsid w:val="00A42ABF"/>
    <w:rsid w:val="00A445E0"/>
    <w:rsid w:val="00A469CE"/>
    <w:rsid w:val="00A56CCF"/>
    <w:rsid w:val="00A60CC3"/>
    <w:rsid w:val="00A7372C"/>
    <w:rsid w:val="00A83B7E"/>
    <w:rsid w:val="00A9069C"/>
    <w:rsid w:val="00AA0E20"/>
    <w:rsid w:val="00AA591E"/>
    <w:rsid w:val="00AB26A2"/>
    <w:rsid w:val="00AC0D7B"/>
    <w:rsid w:val="00AC725A"/>
    <w:rsid w:val="00AE25F0"/>
    <w:rsid w:val="00B24AC6"/>
    <w:rsid w:val="00B24AD5"/>
    <w:rsid w:val="00B3211B"/>
    <w:rsid w:val="00B44F4D"/>
    <w:rsid w:val="00B46562"/>
    <w:rsid w:val="00B8347E"/>
    <w:rsid w:val="00B972BB"/>
    <w:rsid w:val="00BA2E29"/>
    <w:rsid w:val="00BB752C"/>
    <w:rsid w:val="00BD089B"/>
    <w:rsid w:val="00BD0F5D"/>
    <w:rsid w:val="00C02448"/>
    <w:rsid w:val="00C026C7"/>
    <w:rsid w:val="00C16147"/>
    <w:rsid w:val="00C17BED"/>
    <w:rsid w:val="00C21586"/>
    <w:rsid w:val="00C54736"/>
    <w:rsid w:val="00C61DD8"/>
    <w:rsid w:val="00C73E1C"/>
    <w:rsid w:val="00C76BD4"/>
    <w:rsid w:val="00CA0195"/>
    <w:rsid w:val="00CC494C"/>
    <w:rsid w:val="00CC4AAC"/>
    <w:rsid w:val="00CD27C2"/>
    <w:rsid w:val="00CE7E88"/>
    <w:rsid w:val="00CF2C25"/>
    <w:rsid w:val="00CF4887"/>
    <w:rsid w:val="00CF6B42"/>
    <w:rsid w:val="00D01A9B"/>
    <w:rsid w:val="00D3376B"/>
    <w:rsid w:val="00D342EF"/>
    <w:rsid w:val="00D37B3B"/>
    <w:rsid w:val="00D41AB9"/>
    <w:rsid w:val="00D61A6D"/>
    <w:rsid w:val="00D71BC5"/>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87F40"/>
    <w:rsid w:val="00090CEE"/>
    <w:rsid w:val="000F180D"/>
    <w:rsid w:val="000F4F59"/>
    <w:rsid w:val="00112AC8"/>
    <w:rsid w:val="00167638"/>
    <w:rsid w:val="00251654"/>
    <w:rsid w:val="002D4E67"/>
    <w:rsid w:val="003977BD"/>
    <w:rsid w:val="00432E19"/>
    <w:rsid w:val="00447B5B"/>
    <w:rsid w:val="00475844"/>
    <w:rsid w:val="004D5A28"/>
    <w:rsid w:val="00552114"/>
    <w:rsid w:val="00560BA3"/>
    <w:rsid w:val="00606894"/>
    <w:rsid w:val="006A3A0F"/>
    <w:rsid w:val="006E7082"/>
    <w:rsid w:val="00700896"/>
    <w:rsid w:val="00726132"/>
    <w:rsid w:val="00740F42"/>
    <w:rsid w:val="0080173B"/>
    <w:rsid w:val="008152C8"/>
    <w:rsid w:val="00890FC3"/>
    <w:rsid w:val="008C0340"/>
    <w:rsid w:val="008E4971"/>
    <w:rsid w:val="00991630"/>
    <w:rsid w:val="00A24D57"/>
    <w:rsid w:val="00A41D4F"/>
    <w:rsid w:val="00AA2CBC"/>
    <w:rsid w:val="00AB26A2"/>
    <w:rsid w:val="00AE25F0"/>
    <w:rsid w:val="00B24AC6"/>
    <w:rsid w:val="00B47CBF"/>
    <w:rsid w:val="00C76BD4"/>
    <w:rsid w:val="00D37B3B"/>
    <w:rsid w:val="00DB2501"/>
    <w:rsid w:val="00EA6BA5"/>
    <w:rsid w:val="00EA6E3A"/>
    <w:rsid w:val="00EC3360"/>
    <w:rsid w:val="00EF4B0C"/>
    <w:rsid w:val="00F04F2D"/>
    <w:rsid w:val="00F14903"/>
    <w:rsid w:val="00F93FEA"/>
    <w:rsid w:val="00FB5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3190</Words>
  <Characters>20549</Characters>
  <Application>Microsoft Office Word</Application>
  <DocSecurity>0</DocSecurity>
  <Lines>622</Lines>
  <Paragraphs>163</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Inez Glesner (24505)</dc:creator>
  <cp:keywords/>
  <dc:description/>
  <cp:lastModifiedBy>Ellen Marie Gram Carlsen</cp:lastModifiedBy>
  <cp:revision>2</cp:revision>
  <dcterms:created xsi:type="dcterms:W3CDTF">2026-06-03T07:36:00Z</dcterms:created>
  <dcterms:modified xsi:type="dcterms:W3CDTF">2026-06-03T07:36:00Z</dcterms:modified>
</cp:coreProperties>
</file>