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pPr w:vertAnchor="page" w:horzAnchor="page" w:tblpX="8619" w:tblpY="530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Caption w:val="Afsender og dokumentinformation"/>
        <w:tblDescription w:val="Afsender og dokumentinformation"/>
      </w:tblPr>
      <w:tblGrid>
        <w:gridCol w:w="2948"/>
      </w:tblGrid>
      <w:tr w:rsidR="00F9120C" w:rsidRPr="00077871" w14:paraId="0FBC2E54" w14:textId="77777777" w:rsidTr="0099101F">
        <w:trPr>
          <w:trHeight w:hRule="exact" w:val="1503"/>
        </w:trPr>
        <w:tc>
          <w:tcPr>
            <w:tcW w:w="2948" w:type="dxa"/>
          </w:tcPr>
          <w:p w14:paraId="7E4695B7" w14:textId="77777777" w:rsidR="00077871" w:rsidRPr="00077871" w:rsidRDefault="00077871" w:rsidP="00077871">
            <w:pPr>
              <w:pStyle w:val="AfsenderAfdeling"/>
              <w:framePr w:wrap="auto" w:vAnchor="margin" w:hAnchor="text" w:xAlign="left" w:yAlign="inline"/>
              <w:suppressOverlap w:val="0"/>
              <w:rPr>
                <w:rFonts w:cs="Arial"/>
              </w:rPr>
            </w:pPr>
            <w:r w:rsidRPr="00077871">
              <w:rPr>
                <w:rFonts w:cs="Arial"/>
              </w:rPr>
              <w:t>Borgmesterens Afdeling</w:t>
            </w:r>
          </w:p>
          <w:p w14:paraId="2BFA31FA" w14:textId="77777777" w:rsidR="00077871" w:rsidRPr="00077871" w:rsidRDefault="00077871" w:rsidP="00077871">
            <w:pPr>
              <w:pStyle w:val="AfsenderAfdeling"/>
              <w:framePr w:wrap="auto" w:vAnchor="margin" w:hAnchor="text" w:xAlign="left" w:yAlign="inline"/>
              <w:suppressOverlap w:val="0"/>
              <w:rPr>
                <w:rFonts w:cs="Arial"/>
              </w:rPr>
            </w:pPr>
            <w:r w:rsidRPr="00077871">
              <w:rPr>
                <w:rFonts w:cs="Arial"/>
                <w:b w:val="0"/>
                <w:sz w:val="19"/>
              </w:rPr>
              <w:t>Økonomi og Digitalisering</w:t>
            </w:r>
          </w:p>
          <w:p w14:paraId="554D40CF" w14:textId="385C187D" w:rsidR="00F9120C" w:rsidRPr="00077871" w:rsidRDefault="00077871" w:rsidP="00077871">
            <w:pPr>
              <w:pStyle w:val="AfsenderAfdeling"/>
              <w:framePr w:wrap="auto" w:vAnchor="margin" w:hAnchor="text" w:xAlign="left" w:yAlign="inline"/>
              <w:suppressOverlap w:val="0"/>
            </w:pPr>
            <w:r w:rsidRPr="00077871">
              <w:rPr>
                <w:rFonts w:cs="Arial"/>
                <w:b w:val="0"/>
                <w:sz w:val="19"/>
              </w:rPr>
              <w:t>Aarhus Kommune</w:t>
            </w:r>
          </w:p>
        </w:tc>
      </w:tr>
      <w:tr w:rsidR="00F9120C" w:rsidRPr="00077871" w14:paraId="4B279029" w14:textId="77777777" w:rsidTr="0099101F">
        <w:trPr>
          <w:trHeight w:hRule="exact" w:val="6917"/>
        </w:trPr>
        <w:tc>
          <w:tcPr>
            <w:tcW w:w="2948" w:type="dxa"/>
          </w:tcPr>
          <w:p w14:paraId="4BBD7836" w14:textId="77777777" w:rsidR="00077871" w:rsidRPr="00077871" w:rsidRDefault="00077871" w:rsidP="00077871">
            <w:pPr>
              <w:pStyle w:val="Afsender"/>
              <w:framePr w:wrap="auto" w:vAnchor="margin" w:hAnchor="text" w:xAlign="left" w:yAlign="inline"/>
              <w:suppressOverlap w:val="0"/>
              <w:rPr>
                <w:rFonts w:cs="Arial"/>
              </w:rPr>
            </w:pPr>
            <w:r w:rsidRPr="00077871">
              <w:rPr>
                <w:rFonts w:cs="Arial"/>
                <w:b/>
              </w:rPr>
              <w:t>Budget og Planlægning</w:t>
            </w:r>
          </w:p>
          <w:p w14:paraId="10EC2794" w14:textId="77777777" w:rsidR="00077871" w:rsidRPr="00077871" w:rsidRDefault="00077871" w:rsidP="00077871">
            <w:pPr>
              <w:pStyle w:val="Afsender"/>
              <w:framePr w:wrap="auto" w:vAnchor="margin" w:hAnchor="text" w:xAlign="left" w:yAlign="inline"/>
              <w:suppressOverlap w:val="0"/>
              <w:rPr>
                <w:rFonts w:cs="Arial"/>
              </w:rPr>
            </w:pPr>
            <w:r w:rsidRPr="00077871">
              <w:rPr>
                <w:rFonts w:cs="Arial"/>
              </w:rPr>
              <w:t>Rådhuset, Rådhuspladsen 2</w:t>
            </w:r>
          </w:p>
          <w:p w14:paraId="17466038" w14:textId="77777777" w:rsidR="00077871" w:rsidRPr="00077871" w:rsidRDefault="00077871" w:rsidP="00077871">
            <w:pPr>
              <w:pStyle w:val="Afsender"/>
              <w:framePr w:wrap="auto" w:vAnchor="margin" w:hAnchor="text" w:xAlign="left" w:yAlign="inline"/>
              <w:suppressOverlap w:val="0"/>
              <w:rPr>
                <w:rFonts w:cs="Arial"/>
              </w:rPr>
            </w:pPr>
            <w:r w:rsidRPr="00077871">
              <w:rPr>
                <w:rFonts w:cs="Arial"/>
              </w:rPr>
              <w:t>8000 Aarhus C</w:t>
            </w:r>
          </w:p>
          <w:p w14:paraId="4E05AF6C" w14:textId="3DB89C92" w:rsidR="007A1887" w:rsidRPr="00077871" w:rsidRDefault="007A1887" w:rsidP="00077871">
            <w:pPr>
              <w:pStyle w:val="Afsender"/>
              <w:framePr w:wrap="auto" w:vAnchor="margin" w:hAnchor="text" w:xAlign="left" w:yAlign="inline"/>
              <w:suppressOverlap w:val="0"/>
            </w:pPr>
          </w:p>
        </w:tc>
      </w:tr>
    </w:tbl>
    <w:p w14:paraId="47D24B23" w14:textId="55D76657" w:rsidR="00D84B8F" w:rsidRPr="00077871" w:rsidRDefault="00077871" w:rsidP="00077871">
      <w:pPr>
        <w:pStyle w:val="Overskrift1"/>
      </w:pPr>
      <w:bookmarkStart w:id="0" w:name="bmkHeader"/>
      <w:bookmarkEnd w:id="0"/>
      <w:r w:rsidRPr="00077871">
        <w:rPr>
          <w:rFonts w:cs="Arial"/>
        </w:rPr>
        <w:t xml:space="preserve">10-dages forespørgsel fra SF om administrative besparelser </w:t>
      </w:r>
    </w:p>
    <w:p w14:paraId="69995A2D" w14:textId="77777777" w:rsidR="00CF44E0" w:rsidRPr="00077871" w:rsidRDefault="00CF44E0" w:rsidP="00CF44E0"/>
    <w:p w14:paraId="71F4C52B" w14:textId="77777777" w:rsidR="009D5FA1" w:rsidRPr="009D5FA1" w:rsidRDefault="009D5FA1" w:rsidP="009D5FA1"/>
    <w:p w14:paraId="2D7F1505" w14:textId="7F563435" w:rsidR="00D53A85" w:rsidRDefault="004D6030" w:rsidP="00CC61DF">
      <w:pPr>
        <w:jc w:val="both"/>
      </w:pPr>
      <w:r>
        <w:t xml:space="preserve">Der er fra SF spurgt til tre elementer ang. udmøntningen af </w:t>
      </w:r>
      <w:r w:rsidR="009D5FA1" w:rsidRPr="009D5FA1">
        <w:t>administrative besparelser for 2024 og 2025</w:t>
      </w:r>
      <w:r>
        <w:t>:</w:t>
      </w:r>
      <w:r w:rsidR="009D5FA1" w:rsidRPr="009D5FA1">
        <w:t xml:space="preserve"> </w:t>
      </w:r>
    </w:p>
    <w:p w14:paraId="7987102E" w14:textId="77777777" w:rsidR="00D53A85" w:rsidRPr="009D5FA1" w:rsidRDefault="00D53A85" w:rsidP="00CC61DF">
      <w:pPr>
        <w:jc w:val="both"/>
      </w:pPr>
    </w:p>
    <w:p w14:paraId="7D434EBD" w14:textId="77777777" w:rsidR="009D5FA1" w:rsidRPr="009D5FA1" w:rsidRDefault="009D5FA1" w:rsidP="00CC61DF">
      <w:pPr>
        <w:numPr>
          <w:ilvl w:val="0"/>
          <w:numId w:val="4"/>
        </w:numPr>
        <w:jc w:val="both"/>
      </w:pPr>
      <w:r w:rsidRPr="009D5FA1">
        <w:t xml:space="preserve">Hvordan er de administrative besparelser fordelt mellem enheder, der primært varetager administrative opgaver (ofte centrale enheder), og enheder, der primært varetager opgaver, som er direkte rettet mod den borgernære drift (ofte decentrale enheder), opgjort i kroner og procent? </w:t>
      </w:r>
    </w:p>
    <w:p w14:paraId="1A30A4E5" w14:textId="77777777" w:rsidR="009D5FA1" w:rsidRPr="009D5FA1" w:rsidRDefault="009D5FA1" w:rsidP="00CC61DF">
      <w:pPr>
        <w:jc w:val="both"/>
      </w:pPr>
    </w:p>
    <w:p w14:paraId="57329EF6" w14:textId="77777777" w:rsidR="009D5FA1" w:rsidRPr="009D5FA1" w:rsidRDefault="009D5FA1" w:rsidP="00CC61DF">
      <w:pPr>
        <w:numPr>
          <w:ilvl w:val="0"/>
          <w:numId w:val="4"/>
        </w:numPr>
        <w:jc w:val="both"/>
      </w:pPr>
      <w:r w:rsidRPr="009D5FA1">
        <w:t xml:space="preserve">Hvor stor en andel udgør de administrative besparelser af budgetterne henholdsvis for enheder som henholdsvis primært varetager administrative opgaver (centralt) og borgernære opgaver (decentralt)? </w:t>
      </w:r>
    </w:p>
    <w:p w14:paraId="4C091EEE" w14:textId="77777777" w:rsidR="009D5FA1" w:rsidRPr="009D5FA1" w:rsidRDefault="009D5FA1" w:rsidP="00CC61DF">
      <w:pPr>
        <w:jc w:val="both"/>
      </w:pPr>
    </w:p>
    <w:p w14:paraId="3B254FBB" w14:textId="6375DDF0" w:rsidR="00CF44E0" w:rsidRDefault="009D5FA1" w:rsidP="00CC61DF">
      <w:pPr>
        <w:numPr>
          <w:ilvl w:val="0"/>
          <w:numId w:val="4"/>
        </w:numPr>
        <w:jc w:val="both"/>
      </w:pPr>
      <w:r w:rsidRPr="009D5FA1">
        <w:t xml:space="preserve">Hvordan forventes fordelingen af administrative besparelser at være i de kommende år? </w:t>
      </w:r>
    </w:p>
    <w:p w14:paraId="7AE9415B" w14:textId="77777777" w:rsidR="009D5FA1" w:rsidRDefault="009D5FA1" w:rsidP="00CC61DF">
      <w:pPr>
        <w:jc w:val="both"/>
      </w:pPr>
    </w:p>
    <w:p w14:paraId="1C5964A0" w14:textId="264F3E94" w:rsidR="009D5FA1" w:rsidRDefault="009D5FA1" w:rsidP="00CC61DF">
      <w:pPr>
        <w:pStyle w:val="Overskrift1"/>
        <w:jc w:val="both"/>
      </w:pPr>
      <w:r>
        <w:t>Svar</w:t>
      </w:r>
    </w:p>
    <w:p w14:paraId="0976A136" w14:textId="3FD52455" w:rsidR="00746171" w:rsidRDefault="00C15C75" w:rsidP="00CC61DF">
      <w:pPr>
        <w:jc w:val="both"/>
      </w:pPr>
      <w:r>
        <w:t xml:space="preserve">Der er til besvarelse af SFs forespørgsel indhentet bidrag fra magistratsafdelingerne. Besvarelserne fra de enkelte afdelinger fremgår som </w:t>
      </w:r>
      <w:r w:rsidR="00365765">
        <w:t xml:space="preserve">særskilte </w:t>
      </w:r>
      <w:r>
        <w:t xml:space="preserve">bilag nedenfor. </w:t>
      </w:r>
    </w:p>
    <w:p w14:paraId="546370D9" w14:textId="77777777" w:rsidR="00C15C75" w:rsidRDefault="00C15C75" w:rsidP="00CC61DF">
      <w:pPr>
        <w:jc w:val="both"/>
      </w:pPr>
    </w:p>
    <w:p w14:paraId="1E3B5D00" w14:textId="77777777" w:rsidR="00C15C75" w:rsidRDefault="00746171" w:rsidP="00CC61DF">
      <w:pPr>
        <w:jc w:val="both"/>
      </w:pPr>
      <w:r>
        <w:t xml:space="preserve">Det bemærkes, at </w:t>
      </w:r>
      <w:r w:rsidRPr="00746171">
        <w:t>de</w:t>
      </w:r>
      <w:r w:rsidR="00C15C75">
        <w:t xml:space="preserve"> aftalte</w:t>
      </w:r>
      <w:r w:rsidRPr="00746171">
        <w:t xml:space="preserve"> administrative besparelser fordeles på magistratsafdelingerne, og at afdelingerne med rådmandens </w:t>
      </w:r>
      <w:r>
        <w:t>involvering</w:t>
      </w:r>
      <w:r w:rsidRPr="00746171">
        <w:t xml:space="preserve"> har mulighed for at fordele besparelserne indenfor eget område</w:t>
      </w:r>
      <w:r>
        <w:t>.</w:t>
      </w:r>
      <w:r w:rsidRPr="00746171">
        <w:t xml:space="preserve"> Derfor er det </w:t>
      </w:r>
      <w:r>
        <w:t>vanskeligt</w:t>
      </w:r>
      <w:r w:rsidRPr="00746171">
        <w:t xml:space="preserve"> at opgøre, hvordan besparelserne er fordelt på henholdsvis centrale og decentrale område. </w:t>
      </w:r>
    </w:p>
    <w:p w14:paraId="498C8CB3" w14:textId="77777777" w:rsidR="00C15C75" w:rsidRDefault="00C15C75" w:rsidP="00CC61DF">
      <w:pPr>
        <w:jc w:val="both"/>
      </w:pPr>
    </w:p>
    <w:p w14:paraId="40080505" w14:textId="76F06769" w:rsidR="00746171" w:rsidRDefault="00C15C75" w:rsidP="00CC61DF">
      <w:pPr>
        <w:jc w:val="both"/>
      </w:pPr>
      <w:r>
        <w:t>Jf. afdelingernes besvarelser er</w:t>
      </w:r>
      <w:r w:rsidR="00746171" w:rsidRPr="00746171">
        <w:t xml:space="preserve"> det svært at </w:t>
      </w:r>
      <w:r w:rsidR="00365765">
        <w:t xml:space="preserve">foretage en ens </w:t>
      </w:r>
      <w:r w:rsidR="00746171" w:rsidRPr="00746171">
        <w:t>afgræns</w:t>
      </w:r>
      <w:r w:rsidR="00365765">
        <w:t>ning på tværs</w:t>
      </w:r>
      <w:r w:rsidR="00746171" w:rsidRPr="00746171">
        <w:t>,</w:t>
      </w:r>
      <w:r w:rsidR="00365765">
        <w:t xml:space="preserve"> ift.</w:t>
      </w:r>
      <w:r w:rsidR="00746171" w:rsidRPr="00746171">
        <w:t xml:space="preserve"> hvad der defineres som </w:t>
      </w:r>
      <w:r w:rsidR="00746171">
        <w:t xml:space="preserve">hhv. </w:t>
      </w:r>
      <w:r w:rsidR="00746171" w:rsidRPr="00746171">
        <w:t xml:space="preserve">centrale </w:t>
      </w:r>
      <w:r w:rsidR="00746171">
        <w:t xml:space="preserve">og </w:t>
      </w:r>
      <w:r w:rsidR="00746171" w:rsidRPr="00746171">
        <w:t>decentrale områder, fordi magistratsafdelingerne har forskellig</w:t>
      </w:r>
      <w:r w:rsidR="00746171">
        <w:t>e</w:t>
      </w:r>
      <w:r w:rsidR="00746171" w:rsidRPr="00746171">
        <w:t xml:space="preserve"> organisering</w:t>
      </w:r>
      <w:r w:rsidR="00365765">
        <w:t>er</w:t>
      </w:r>
      <w:r w:rsidR="00746171" w:rsidRPr="00746171">
        <w:t xml:space="preserve"> og opbygning</w:t>
      </w:r>
      <w:r w:rsidR="00365765">
        <w:t>er</w:t>
      </w:r>
      <w:r w:rsidR="00746171" w:rsidRPr="00746171">
        <w:t>.</w:t>
      </w:r>
      <w:r w:rsidR="00746171">
        <w:t xml:space="preserve"> </w:t>
      </w:r>
      <w:r w:rsidR="002457D9" w:rsidRPr="002457D9">
        <w:t>Det vurderes således, at de administrative besparelser fordelt på centrale/decentrale enheder i magistratsafdelingerne ikke vil danne et grundlag for en retvisende sammenligning på tværs.</w:t>
      </w:r>
    </w:p>
    <w:p w14:paraId="01CFCAB4" w14:textId="77777777" w:rsidR="00CC61DF" w:rsidRDefault="00CC61DF" w:rsidP="00CC61DF">
      <w:pPr>
        <w:jc w:val="both"/>
      </w:pPr>
    </w:p>
    <w:p w14:paraId="561D3EBF" w14:textId="77777777" w:rsidR="008D34FC" w:rsidRDefault="00C02DFB" w:rsidP="00687F40">
      <w:pPr>
        <w:spacing w:after="340"/>
        <w:jc w:val="both"/>
      </w:pPr>
      <w:r>
        <w:t xml:space="preserve">Det bemærkes, at de administrative besparelser blev aftalt ifm. </w:t>
      </w:r>
      <w:r w:rsidR="00D53A85">
        <w:t>b</w:t>
      </w:r>
      <w:r>
        <w:t xml:space="preserve">udgetaftalen 2024 som led i økonomiaftalen ml. Regeringen og KL. For at håndtere disse besparelser blev der desuden igangsat et arbejde med at fjerne, reducere og effektivisere administrative opgaver i flere temaer. </w:t>
      </w:r>
    </w:p>
    <w:p w14:paraId="0033146E" w14:textId="7BFFF14D" w:rsidR="00097510" w:rsidRDefault="008D34FC" w:rsidP="008D34FC">
      <w:pPr>
        <w:spacing w:after="340"/>
        <w:jc w:val="both"/>
      </w:pPr>
      <w:r>
        <w:t>Det forudsættes således, at</w:t>
      </w:r>
      <w:r w:rsidR="00C61A87">
        <w:t xml:space="preserve"> der fortsat arbejdes ambitiøst med at</w:t>
      </w:r>
      <w:r>
        <w:t xml:space="preserve"> </w:t>
      </w:r>
      <w:r w:rsidR="00C61A87">
        <w:t>realisere</w:t>
      </w:r>
      <w:r>
        <w:t xml:space="preserve"> de administrative besparelser </w:t>
      </w:r>
      <w:r w:rsidR="00C61A87">
        <w:t>som led i</w:t>
      </w:r>
      <w:r>
        <w:t xml:space="preserve"> det flerårige samarbejdsprogram mellem KL og regeringen, som har til formål at</w:t>
      </w:r>
      <w:r w:rsidR="00C61A87">
        <w:t xml:space="preserve"> nedbringe unødvendig administration og bureaukrati mhp. at</w:t>
      </w:r>
      <w:r>
        <w:t xml:space="preserve"> understøtte kommunernes arbejde med at udvikle </w:t>
      </w:r>
      <w:r>
        <w:lastRenderedPageBreak/>
        <w:t>velfærdsområderne inden for de økonomiske rammer og styrke det lokalpolitiske råderum</w:t>
      </w:r>
      <w:r w:rsidR="00C61A87">
        <w:t>.</w:t>
      </w:r>
    </w:p>
    <w:p w14:paraId="1B0E8B19" w14:textId="7C8A60FC" w:rsidR="009D5FA1" w:rsidRDefault="003C16DA" w:rsidP="00C15C75">
      <w:pPr>
        <w:spacing w:after="340"/>
        <w:jc w:val="both"/>
      </w:pPr>
      <w:r>
        <w:t>Der</w:t>
      </w:r>
      <w:r w:rsidR="00365765">
        <w:t>for</w:t>
      </w:r>
      <w:r>
        <w:t xml:space="preserve"> vil der ifm. Magistratens budgetforslag indgå oplæg til indfasning af næste trin i de administrative besparelser (ca. 17,4 mio. kr.) frem mod den fulde indfasning i 2030 på 150 mio. kr. i administrative besparelser.</w:t>
      </w:r>
    </w:p>
    <w:p w14:paraId="17FAFED3" w14:textId="23139002" w:rsidR="009D5FA1" w:rsidRDefault="009D5FA1" w:rsidP="009D5FA1">
      <w:r>
        <w:t>De</w:t>
      </w:r>
      <w:r w:rsidRPr="008E598D">
        <w:t xml:space="preserve"> administrative besparelser </w:t>
      </w:r>
      <w:r>
        <w:t>på 17,4</w:t>
      </w:r>
      <w:r w:rsidRPr="008E598D">
        <w:t xml:space="preserve"> mio. kr. </w:t>
      </w:r>
      <w:r>
        <w:t xml:space="preserve">fordeles </w:t>
      </w:r>
      <w:r w:rsidRPr="008E598D">
        <w:t xml:space="preserve">via den administrative nøgle, og fremgår af </w:t>
      </w:r>
      <w:r>
        <w:t xml:space="preserve">tabel </w:t>
      </w:r>
      <w:r w:rsidR="00C15C75">
        <w:t>1</w:t>
      </w:r>
      <w:r w:rsidRPr="008E598D">
        <w:t xml:space="preserve">. </w:t>
      </w:r>
    </w:p>
    <w:p w14:paraId="130E95BC" w14:textId="77777777" w:rsidR="009D5FA1" w:rsidRPr="008E598D" w:rsidRDefault="009D5FA1" w:rsidP="009D5FA1"/>
    <w:p w14:paraId="3192FFCD" w14:textId="49096619" w:rsidR="009D5FA1" w:rsidRDefault="009D5FA1" w:rsidP="003C16DA">
      <w:pPr>
        <w:ind w:left="-709" w:firstLine="709"/>
      </w:pPr>
      <w:r>
        <w:t xml:space="preserve">Tabel </w:t>
      </w:r>
      <w:r w:rsidR="00C15C75">
        <w:t>1</w:t>
      </w:r>
      <w:r>
        <w:t>: Fordeling af administrative besparelser</w:t>
      </w:r>
    </w:p>
    <w:tbl>
      <w:tblPr>
        <w:tblW w:w="8677" w:type="dxa"/>
        <w:shd w:val="clear" w:color="auto" w:fill="DBE5F1" w:themeFill="accent1" w:themeFillTint="33"/>
        <w:tblLayout w:type="fixed"/>
        <w:tblCellMar>
          <w:left w:w="70" w:type="dxa"/>
          <w:right w:w="70" w:type="dxa"/>
        </w:tblCellMar>
        <w:tblLook w:val="04A0" w:firstRow="1" w:lastRow="0" w:firstColumn="1" w:lastColumn="0" w:noHBand="0" w:noVBand="1"/>
      </w:tblPr>
      <w:tblGrid>
        <w:gridCol w:w="3454"/>
        <w:gridCol w:w="1116"/>
        <w:gridCol w:w="1027"/>
        <w:gridCol w:w="513"/>
        <w:gridCol w:w="513"/>
        <w:gridCol w:w="1027"/>
        <w:gridCol w:w="1027"/>
      </w:tblGrid>
      <w:tr w:rsidR="009D5FA1" w:rsidRPr="00001423" w14:paraId="11736F86" w14:textId="77777777" w:rsidTr="001A16EF">
        <w:trPr>
          <w:trHeight w:val="299"/>
        </w:trPr>
        <w:tc>
          <w:tcPr>
            <w:tcW w:w="3454" w:type="dxa"/>
            <w:tcBorders>
              <w:top w:val="single" w:sz="4" w:space="0" w:color="auto"/>
              <w:left w:val="nil"/>
              <w:bottom w:val="single" w:sz="4" w:space="0" w:color="auto"/>
              <w:right w:val="nil"/>
            </w:tcBorders>
            <w:shd w:val="clear" w:color="auto" w:fill="DBE5F1" w:themeFill="accent1" w:themeFillTint="33"/>
            <w:noWrap/>
            <w:vAlign w:val="bottom"/>
            <w:hideMark/>
          </w:tcPr>
          <w:p w14:paraId="6F6C1F48" w14:textId="77777777" w:rsidR="009D5FA1" w:rsidRPr="00001423" w:rsidRDefault="009D5FA1" w:rsidP="001F7D94">
            <w:pPr>
              <w:spacing w:line="240" w:lineRule="auto"/>
              <w:rPr>
                <w:rFonts w:eastAsia="Times New Roman" w:cs="Arial"/>
                <w:b/>
                <w:bCs/>
                <w:lang w:eastAsia="da-DK"/>
              </w:rPr>
            </w:pPr>
            <w:r w:rsidRPr="00001423">
              <w:rPr>
                <w:rFonts w:eastAsia="Times New Roman" w:cs="Arial"/>
                <w:lang w:eastAsia="da-DK"/>
              </w:rPr>
              <w:t>1.000 kr.</w:t>
            </w:r>
            <w:r>
              <w:rPr>
                <w:rFonts w:eastAsia="Times New Roman" w:cs="Arial"/>
                <w:lang w:eastAsia="da-DK"/>
              </w:rPr>
              <w:t xml:space="preserve"> (PL2025)</w:t>
            </w:r>
          </w:p>
        </w:tc>
        <w:tc>
          <w:tcPr>
            <w:tcW w:w="1116" w:type="dxa"/>
            <w:tcBorders>
              <w:top w:val="single" w:sz="4" w:space="0" w:color="auto"/>
              <w:left w:val="nil"/>
              <w:bottom w:val="single" w:sz="4" w:space="0" w:color="auto"/>
              <w:right w:val="nil"/>
            </w:tcBorders>
            <w:shd w:val="clear" w:color="auto" w:fill="DBE5F1" w:themeFill="accent1" w:themeFillTint="33"/>
            <w:vAlign w:val="center"/>
          </w:tcPr>
          <w:p w14:paraId="21F8F5C2" w14:textId="77777777" w:rsidR="009D5FA1" w:rsidRPr="00001423" w:rsidRDefault="009D5FA1" w:rsidP="001A16EF">
            <w:pPr>
              <w:spacing w:line="240" w:lineRule="auto"/>
              <w:ind w:left="-57" w:right="-113"/>
              <w:jc w:val="right"/>
              <w:rPr>
                <w:b/>
                <w:bCs/>
              </w:rPr>
            </w:pPr>
            <w:r w:rsidRPr="00001423">
              <w:rPr>
                <w:rFonts w:cs="Arial"/>
                <w:b/>
                <w:bCs/>
                <w:color w:val="000000"/>
              </w:rPr>
              <w:t>Andel i %</w:t>
            </w:r>
          </w:p>
        </w:tc>
        <w:tc>
          <w:tcPr>
            <w:tcW w:w="1027" w:type="dxa"/>
            <w:tcBorders>
              <w:top w:val="single" w:sz="4" w:space="0" w:color="auto"/>
              <w:left w:val="nil"/>
              <w:bottom w:val="single" w:sz="4" w:space="0" w:color="auto"/>
              <w:right w:val="nil"/>
            </w:tcBorders>
            <w:shd w:val="clear" w:color="auto" w:fill="DBE5F1" w:themeFill="accent1" w:themeFillTint="33"/>
            <w:noWrap/>
            <w:vAlign w:val="center"/>
          </w:tcPr>
          <w:p w14:paraId="66F8DCD4" w14:textId="77777777" w:rsidR="009D5FA1" w:rsidRPr="00001423" w:rsidRDefault="009D5FA1" w:rsidP="001A16EF">
            <w:pPr>
              <w:spacing w:line="240" w:lineRule="auto"/>
              <w:jc w:val="right"/>
              <w:rPr>
                <w:rFonts w:eastAsia="Times New Roman" w:cs="Arial"/>
                <w:b/>
                <w:bCs/>
                <w:lang w:eastAsia="da-DK"/>
              </w:rPr>
            </w:pPr>
            <w:r w:rsidRPr="00001423">
              <w:rPr>
                <w:b/>
                <w:bCs/>
              </w:rPr>
              <w:t>2026</w:t>
            </w:r>
          </w:p>
        </w:tc>
        <w:tc>
          <w:tcPr>
            <w:tcW w:w="1026" w:type="dxa"/>
            <w:gridSpan w:val="2"/>
            <w:tcBorders>
              <w:top w:val="single" w:sz="4" w:space="0" w:color="auto"/>
              <w:left w:val="nil"/>
              <w:bottom w:val="single" w:sz="4" w:space="0" w:color="auto"/>
              <w:right w:val="nil"/>
            </w:tcBorders>
            <w:shd w:val="clear" w:color="auto" w:fill="DBE5F1" w:themeFill="accent1" w:themeFillTint="33"/>
            <w:noWrap/>
            <w:vAlign w:val="center"/>
          </w:tcPr>
          <w:p w14:paraId="743CAA8C" w14:textId="77777777" w:rsidR="009D5FA1" w:rsidRPr="00001423" w:rsidRDefault="009D5FA1" w:rsidP="001A16EF">
            <w:pPr>
              <w:spacing w:line="240" w:lineRule="auto"/>
              <w:jc w:val="right"/>
              <w:rPr>
                <w:rFonts w:eastAsia="Times New Roman" w:cs="Arial"/>
                <w:b/>
                <w:bCs/>
                <w:lang w:eastAsia="da-DK"/>
              </w:rPr>
            </w:pPr>
            <w:r w:rsidRPr="00001423">
              <w:rPr>
                <w:b/>
                <w:bCs/>
              </w:rPr>
              <w:t>2027</w:t>
            </w:r>
          </w:p>
        </w:tc>
        <w:tc>
          <w:tcPr>
            <w:tcW w:w="1027" w:type="dxa"/>
            <w:tcBorders>
              <w:top w:val="single" w:sz="4" w:space="0" w:color="auto"/>
              <w:left w:val="nil"/>
              <w:bottom w:val="single" w:sz="4" w:space="0" w:color="auto"/>
              <w:right w:val="nil"/>
            </w:tcBorders>
            <w:shd w:val="clear" w:color="auto" w:fill="DBE5F1" w:themeFill="accent1" w:themeFillTint="33"/>
            <w:noWrap/>
            <w:vAlign w:val="center"/>
          </w:tcPr>
          <w:p w14:paraId="5667AE86" w14:textId="77777777" w:rsidR="009D5FA1" w:rsidRPr="00001423" w:rsidRDefault="009D5FA1" w:rsidP="001A16EF">
            <w:pPr>
              <w:spacing w:line="240" w:lineRule="auto"/>
              <w:jc w:val="right"/>
              <w:rPr>
                <w:rFonts w:eastAsia="Times New Roman" w:cs="Arial"/>
                <w:b/>
                <w:bCs/>
                <w:lang w:eastAsia="da-DK"/>
              </w:rPr>
            </w:pPr>
            <w:r w:rsidRPr="00001423">
              <w:rPr>
                <w:b/>
                <w:bCs/>
              </w:rPr>
              <w:t>2028</w:t>
            </w:r>
          </w:p>
        </w:tc>
        <w:tc>
          <w:tcPr>
            <w:tcW w:w="1027" w:type="dxa"/>
            <w:tcBorders>
              <w:top w:val="single" w:sz="4" w:space="0" w:color="auto"/>
              <w:left w:val="nil"/>
              <w:bottom w:val="single" w:sz="4" w:space="0" w:color="auto"/>
              <w:right w:val="nil"/>
            </w:tcBorders>
            <w:shd w:val="clear" w:color="auto" w:fill="DBE5F1" w:themeFill="accent1" w:themeFillTint="33"/>
            <w:noWrap/>
            <w:vAlign w:val="center"/>
          </w:tcPr>
          <w:p w14:paraId="629F39A6" w14:textId="77777777" w:rsidR="009D5FA1" w:rsidRPr="00001423" w:rsidRDefault="009D5FA1" w:rsidP="001A16EF">
            <w:pPr>
              <w:spacing w:line="240" w:lineRule="auto"/>
              <w:jc w:val="right"/>
              <w:rPr>
                <w:rFonts w:eastAsia="Times New Roman" w:cs="Arial"/>
                <w:b/>
                <w:bCs/>
                <w:lang w:eastAsia="da-DK"/>
              </w:rPr>
            </w:pPr>
            <w:r w:rsidRPr="00001423">
              <w:rPr>
                <w:b/>
                <w:bCs/>
              </w:rPr>
              <w:t>2029</w:t>
            </w:r>
          </w:p>
        </w:tc>
      </w:tr>
      <w:tr w:rsidR="009D5FA1" w:rsidRPr="00001423" w14:paraId="618E23C0" w14:textId="77777777" w:rsidTr="001A16EF">
        <w:trPr>
          <w:trHeight w:val="56"/>
        </w:trPr>
        <w:tc>
          <w:tcPr>
            <w:tcW w:w="3454" w:type="dxa"/>
            <w:tcBorders>
              <w:top w:val="nil"/>
              <w:left w:val="nil"/>
              <w:bottom w:val="nil"/>
              <w:right w:val="nil"/>
            </w:tcBorders>
            <w:shd w:val="clear" w:color="auto" w:fill="DBE5F1" w:themeFill="accent1" w:themeFillTint="33"/>
            <w:noWrap/>
            <w:vAlign w:val="center"/>
            <w:hideMark/>
          </w:tcPr>
          <w:p w14:paraId="148A0F78" w14:textId="77777777" w:rsidR="009D5FA1" w:rsidRPr="00001423" w:rsidRDefault="009D5FA1" w:rsidP="001A16EF">
            <w:pPr>
              <w:spacing w:line="240" w:lineRule="auto"/>
              <w:rPr>
                <w:rFonts w:eastAsia="Times New Roman" w:cs="Arial"/>
                <w:b/>
                <w:bCs/>
                <w:lang w:eastAsia="da-DK"/>
              </w:rPr>
            </w:pPr>
            <w:r w:rsidRPr="00001423">
              <w:rPr>
                <w:rFonts w:eastAsia="Times New Roman" w:cs="Arial"/>
                <w:b/>
                <w:bCs/>
                <w:lang w:eastAsia="da-DK"/>
              </w:rPr>
              <w:t> </w:t>
            </w:r>
          </w:p>
        </w:tc>
        <w:tc>
          <w:tcPr>
            <w:tcW w:w="2656" w:type="dxa"/>
            <w:gridSpan w:val="3"/>
            <w:tcBorders>
              <w:top w:val="single" w:sz="4" w:space="0" w:color="auto"/>
              <w:left w:val="nil"/>
              <w:bottom w:val="nil"/>
              <w:right w:val="nil"/>
            </w:tcBorders>
            <w:shd w:val="clear" w:color="auto" w:fill="DBE5F1" w:themeFill="accent1" w:themeFillTint="33"/>
            <w:vAlign w:val="center"/>
          </w:tcPr>
          <w:p w14:paraId="0F803362" w14:textId="77777777" w:rsidR="009D5FA1" w:rsidRPr="00001423" w:rsidRDefault="009D5FA1" w:rsidP="001A16EF">
            <w:pPr>
              <w:spacing w:line="240" w:lineRule="auto"/>
              <w:jc w:val="right"/>
              <w:rPr>
                <w:rFonts w:eastAsia="Times New Roman" w:cs="Arial"/>
                <w:lang w:eastAsia="da-DK"/>
              </w:rPr>
            </w:pPr>
          </w:p>
        </w:tc>
        <w:tc>
          <w:tcPr>
            <w:tcW w:w="2567" w:type="dxa"/>
            <w:gridSpan w:val="3"/>
            <w:tcBorders>
              <w:top w:val="single" w:sz="4" w:space="0" w:color="auto"/>
              <w:left w:val="nil"/>
              <w:bottom w:val="nil"/>
              <w:right w:val="nil"/>
            </w:tcBorders>
            <w:shd w:val="clear" w:color="auto" w:fill="DBE5F1" w:themeFill="accent1" w:themeFillTint="33"/>
            <w:noWrap/>
            <w:vAlign w:val="center"/>
            <w:hideMark/>
          </w:tcPr>
          <w:p w14:paraId="443FE056" w14:textId="77777777" w:rsidR="009D5FA1" w:rsidRPr="00001423" w:rsidRDefault="009D5FA1" w:rsidP="001A16EF">
            <w:pPr>
              <w:spacing w:line="240" w:lineRule="auto"/>
              <w:jc w:val="right"/>
              <w:rPr>
                <w:rFonts w:eastAsia="Times New Roman" w:cs="Arial"/>
                <w:lang w:eastAsia="da-DK"/>
              </w:rPr>
            </w:pPr>
          </w:p>
        </w:tc>
      </w:tr>
      <w:tr w:rsidR="009D5FA1" w:rsidRPr="00001423" w14:paraId="35852949" w14:textId="77777777" w:rsidTr="001A16EF">
        <w:trPr>
          <w:trHeight w:val="299"/>
        </w:trPr>
        <w:tc>
          <w:tcPr>
            <w:tcW w:w="3454" w:type="dxa"/>
            <w:tcBorders>
              <w:top w:val="nil"/>
              <w:left w:val="nil"/>
              <w:right w:val="nil"/>
            </w:tcBorders>
            <w:shd w:val="clear" w:color="auto" w:fill="DBE5F1" w:themeFill="accent1" w:themeFillTint="33"/>
            <w:noWrap/>
            <w:vAlign w:val="center"/>
            <w:hideMark/>
          </w:tcPr>
          <w:p w14:paraId="24FE54CB" w14:textId="77777777" w:rsidR="009D5FA1" w:rsidRPr="00001423" w:rsidRDefault="009D5FA1" w:rsidP="001A16EF">
            <w:pPr>
              <w:spacing w:line="240" w:lineRule="auto"/>
              <w:rPr>
                <w:rFonts w:eastAsia="Times New Roman" w:cs="Arial"/>
                <w:lang w:eastAsia="da-DK"/>
              </w:rPr>
            </w:pPr>
            <w:r w:rsidRPr="00001423">
              <w:rPr>
                <w:rFonts w:eastAsia="Times New Roman" w:cs="Arial"/>
                <w:lang w:eastAsia="da-DK"/>
              </w:rPr>
              <w:t xml:space="preserve">Børn og Unge </w:t>
            </w:r>
          </w:p>
        </w:tc>
        <w:tc>
          <w:tcPr>
            <w:tcW w:w="1116" w:type="dxa"/>
            <w:tcBorders>
              <w:top w:val="nil"/>
              <w:left w:val="nil"/>
              <w:right w:val="nil"/>
            </w:tcBorders>
            <w:shd w:val="clear" w:color="auto" w:fill="DBE5F1" w:themeFill="accent1" w:themeFillTint="33"/>
            <w:vAlign w:val="center"/>
          </w:tcPr>
          <w:p w14:paraId="4C07B3A1" w14:textId="77777777" w:rsidR="009D5FA1" w:rsidRPr="00001423" w:rsidRDefault="009D5FA1" w:rsidP="001A16EF">
            <w:pPr>
              <w:spacing w:before="60" w:after="60" w:line="240" w:lineRule="auto"/>
              <w:jc w:val="right"/>
            </w:pPr>
            <w:r w:rsidRPr="00001423">
              <w:t>27,9%</w:t>
            </w:r>
          </w:p>
        </w:tc>
        <w:tc>
          <w:tcPr>
            <w:tcW w:w="1027" w:type="dxa"/>
            <w:tcBorders>
              <w:top w:val="nil"/>
              <w:left w:val="nil"/>
              <w:right w:val="nil"/>
            </w:tcBorders>
            <w:shd w:val="clear" w:color="auto" w:fill="DBE5F1" w:themeFill="accent1" w:themeFillTint="33"/>
            <w:noWrap/>
            <w:vAlign w:val="center"/>
          </w:tcPr>
          <w:p w14:paraId="5E83170E" w14:textId="77777777" w:rsidR="009D5FA1" w:rsidRPr="00001423" w:rsidRDefault="009D5FA1" w:rsidP="001A16EF">
            <w:pPr>
              <w:spacing w:before="60" w:after="60" w:line="240" w:lineRule="auto"/>
              <w:jc w:val="right"/>
            </w:pPr>
            <w:r w:rsidRPr="00001423">
              <w:t>4.855</w:t>
            </w:r>
          </w:p>
        </w:tc>
        <w:tc>
          <w:tcPr>
            <w:tcW w:w="1026" w:type="dxa"/>
            <w:gridSpan w:val="2"/>
            <w:tcBorders>
              <w:top w:val="nil"/>
              <w:left w:val="nil"/>
              <w:right w:val="nil"/>
            </w:tcBorders>
            <w:shd w:val="clear" w:color="auto" w:fill="DBE5F1" w:themeFill="accent1" w:themeFillTint="33"/>
            <w:noWrap/>
            <w:vAlign w:val="center"/>
          </w:tcPr>
          <w:p w14:paraId="66185FAE" w14:textId="77777777" w:rsidR="009D5FA1" w:rsidRPr="00001423" w:rsidRDefault="009D5FA1" w:rsidP="001A16EF">
            <w:pPr>
              <w:spacing w:before="60" w:after="60" w:line="240" w:lineRule="auto"/>
              <w:jc w:val="right"/>
            </w:pPr>
            <w:r w:rsidRPr="00001423">
              <w:t>4.855</w:t>
            </w:r>
          </w:p>
        </w:tc>
        <w:tc>
          <w:tcPr>
            <w:tcW w:w="1027" w:type="dxa"/>
            <w:tcBorders>
              <w:top w:val="nil"/>
              <w:left w:val="nil"/>
              <w:right w:val="nil"/>
            </w:tcBorders>
            <w:shd w:val="clear" w:color="auto" w:fill="DBE5F1" w:themeFill="accent1" w:themeFillTint="33"/>
            <w:noWrap/>
            <w:vAlign w:val="center"/>
          </w:tcPr>
          <w:p w14:paraId="501B901E" w14:textId="77777777" w:rsidR="009D5FA1" w:rsidRPr="00001423" w:rsidRDefault="009D5FA1" w:rsidP="001A16EF">
            <w:pPr>
              <w:spacing w:before="60" w:after="60" w:line="240" w:lineRule="auto"/>
              <w:jc w:val="right"/>
            </w:pPr>
            <w:r w:rsidRPr="00001423">
              <w:t>4.855</w:t>
            </w:r>
          </w:p>
        </w:tc>
        <w:tc>
          <w:tcPr>
            <w:tcW w:w="1027" w:type="dxa"/>
            <w:tcBorders>
              <w:top w:val="nil"/>
              <w:left w:val="nil"/>
              <w:right w:val="nil"/>
            </w:tcBorders>
            <w:shd w:val="clear" w:color="auto" w:fill="DBE5F1" w:themeFill="accent1" w:themeFillTint="33"/>
            <w:noWrap/>
            <w:vAlign w:val="center"/>
          </w:tcPr>
          <w:p w14:paraId="4C74BD0B" w14:textId="77777777" w:rsidR="009D5FA1" w:rsidRPr="00001423" w:rsidRDefault="009D5FA1" w:rsidP="001A16EF">
            <w:pPr>
              <w:spacing w:before="60" w:after="60" w:line="240" w:lineRule="auto"/>
              <w:jc w:val="right"/>
            </w:pPr>
            <w:r w:rsidRPr="00001423">
              <w:t>4.855</w:t>
            </w:r>
          </w:p>
        </w:tc>
      </w:tr>
      <w:tr w:rsidR="009D5FA1" w:rsidRPr="00001423" w14:paraId="48D49E93" w14:textId="77777777" w:rsidTr="001A16EF">
        <w:trPr>
          <w:trHeight w:val="230"/>
        </w:trPr>
        <w:tc>
          <w:tcPr>
            <w:tcW w:w="3454" w:type="dxa"/>
            <w:tcBorders>
              <w:top w:val="nil"/>
              <w:left w:val="nil"/>
              <w:right w:val="nil"/>
            </w:tcBorders>
            <w:shd w:val="clear" w:color="auto" w:fill="DBE5F1" w:themeFill="accent1" w:themeFillTint="33"/>
            <w:noWrap/>
            <w:vAlign w:val="center"/>
            <w:hideMark/>
          </w:tcPr>
          <w:p w14:paraId="508DAAA3" w14:textId="77777777" w:rsidR="009D5FA1" w:rsidRPr="00001423" w:rsidRDefault="009D5FA1" w:rsidP="001A16EF">
            <w:pPr>
              <w:spacing w:line="240" w:lineRule="auto"/>
              <w:rPr>
                <w:rFonts w:eastAsia="Times New Roman" w:cs="Arial"/>
                <w:lang w:eastAsia="da-DK"/>
              </w:rPr>
            </w:pPr>
            <w:r w:rsidRPr="00001423">
              <w:rPr>
                <w:rFonts w:eastAsia="Times New Roman" w:cs="Arial"/>
                <w:lang w:eastAsia="da-DK"/>
              </w:rPr>
              <w:t>Sociale Forhold og Beskæftigelse</w:t>
            </w:r>
          </w:p>
        </w:tc>
        <w:tc>
          <w:tcPr>
            <w:tcW w:w="1116" w:type="dxa"/>
            <w:tcBorders>
              <w:top w:val="nil"/>
              <w:left w:val="nil"/>
              <w:right w:val="nil"/>
            </w:tcBorders>
            <w:shd w:val="clear" w:color="auto" w:fill="DBE5F1" w:themeFill="accent1" w:themeFillTint="33"/>
            <w:vAlign w:val="center"/>
          </w:tcPr>
          <w:p w14:paraId="65D8163D" w14:textId="77777777" w:rsidR="009D5FA1" w:rsidRPr="00001423" w:rsidRDefault="009D5FA1" w:rsidP="001A16EF">
            <w:pPr>
              <w:spacing w:before="60" w:after="60" w:line="240" w:lineRule="auto"/>
              <w:jc w:val="right"/>
            </w:pPr>
            <w:r w:rsidRPr="00001423">
              <w:t>28,4%</w:t>
            </w:r>
          </w:p>
        </w:tc>
        <w:tc>
          <w:tcPr>
            <w:tcW w:w="1027" w:type="dxa"/>
            <w:tcBorders>
              <w:top w:val="nil"/>
              <w:left w:val="nil"/>
              <w:right w:val="nil"/>
            </w:tcBorders>
            <w:shd w:val="clear" w:color="auto" w:fill="DBE5F1" w:themeFill="accent1" w:themeFillTint="33"/>
            <w:noWrap/>
            <w:vAlign w:val="center"/>
          </w:tcPr>
          <w:p w14:paraId="2DDA18FF" w14:textId="77777777" w:rsidR="009D5FA1" w:rsidRPr="00001423" w:rsidRDefault="009D5FA1" w:rsidP="001A16EF">
            <w:pPr>
              <w:spacing w:before="60" w:after="60" w:line="240" w:lineRule="auto"/>
              <w:jc w:val="right"/>
            </w:pPr>
            <w:r w:rsidRPr="00001423">
              <w:t>4.942</w:t>
            </w:r>
          </w:p>
        </w:tc>
        <w:tc>
          <w:tcPr>
            <w:tcW w:w="1026" w:type="dxa"/>
            <w:gridSpan w:val="2"/>
            <w:tcBorders>
              <w:top w:val="nil"/>
              <w:left w:val="nil"/>
              <w:right w:val="nil"/>
            </w:tcBorders>
            <w:shd w:val="clear" w:color="auto" w:fill="DBE5F1" w:themeFill="accent1" w:themeFillTint="33"/>
            <w:noWrap/>
            <w:vAlign w:val="center"/>
          </w:tcPr>
          <w:p w14:paraId="22FDCBA0" w14:textId="77777777" w:rsidR="009D5FA1" w:rsidRPr="00001423" w:rsidRDefault="009D5FA1" w:rsidP="001A16EF">
            <w:pPr>
              <w:spacing w:before="60" w:after="60" w:line="240" w:lineRule="auto"/>
              <w:jc w:val="right"/>
            </w:pPr>
            <w:r w:rsidRPr="00001423">
              <w:t>4.942</w:t>
            </w:r>
          </w:p>
        </w:tc>
        <w:tc>
          <w:tcPr>
            <w:tcW w:w="1027" w:type="dxa"/>
            <w:tcBorders>
              <w:top w:val="nil"/>
              <w:left w:val="nil"/>
              <w:right w:val="nil"/>
            </w:tcBorders>
            <w:shd w:val="clear" w:color="auto" w:fill="DBE5F1" w:themeFill="accent1" w:themeFillTint="33"/>
            <w:noWrap/>
            <w:vAlign w:val="center"/>
          </w:tcPr>
          <w:p w14:paraId="7D797C8F" w14:textId="77777777" w:rsidR="009D5FA1" w:rsidRPr="00001423" w:rsidRDefault="009D5FA1" w:rsidP="001A16EF">
            <w:pPr>
              <w:spacing w:before="60" w:after="60" w:line="240" w:lineRule="auto"/>
              <w:jc w:val="right"/>
            </w:pPr>
            <w:r w:rsidRPr="00001423">
              <w:t>4.942</w:t>
            </w:r>
          </w:p>
        </w:tc>
        <w:tc>
          <w:tcPr>
            <w:tcW w:w="1027" w:type="dxa"/>
            <w:tcBorders>
              <w:top w:val="nil"/>
              <w:left w:val="nil"/>
              <w:right w:val="nil"/>
            </w:tcBorders>
            <w:shd w:val="clear" w:color="auto" w:fill="DBE5F1" w:themeFill="accent1" w:themeFillTint="33"/>
            <w:noWrap/>
            <w:vAlign w:val="center"/>
          </w:tcPr>
          <w:p w14:paraId="38AC6612" w14:textId="77777777" w:rsidR="009D5FA1" w:rsidRPr="00001423" w:rsidRDefault="009D5FA1" w:rsidP="001A16EF">
            <w:pPr>
              <w:spacing w:before="60" w:after="60" w:line="240" w:lineRule="auto"/>
              <w:jc w:val="right"/>
            </w:pPr>
            <w:r w:rsidRPr="00001423">
              <w:t>4.942</w:t>
            </w:r>
          </w:p>
        </w:tc>
      </w:tr>
      <w:tr w:rsidR="009D5FA1" w:rsidRPr="00001423" w14:paraId="13F29A0F" w14:textId="77777777" w:rsidTr="001A16EF">
        <w:trPr>
          <w:trHeight w:val="70"/>
        </w:trPr>
        <w:tc>
          <w:tcPr>
            <w:tcW w:w="3454" w:type="dxa"/>
            <w:tcBorders>
              <w:left w:val="nil"/>
              <w:right w:val="nil"/>
            </w:tcBorders>
            <w:shd w:val="clear" w:color="auto" w:fill="DBE5F1" w:themeFill="accent1" w:themeFillTint="33"/>
            <w:noWrap/>
            <w:vAlign w:val="center"/>
            <w:hideMark/>
          </w:tcPr>
          <w:p w14:paraId="1FD445AC" w14:textId="77777777" w:rsidR="009D5FA1" w:rsidRPr="00001423" w:rsidRDefault="009D5FA1" w:rsidP="001A16EF">
            <w:pPr>
              <w:spacing w:line="240" w:lineRule="auto"/>
              <w:rPr>
                <w:rFonts w:eastAsia="Times New Roman" w:cs="Arial"/>
                <w:lang w:eastAsia="da-DK"/>
              </w:rPr>
            </w:pPr>
            <w:r w:rsidRPr="00001423">
              <w:rPr>
                <w:rFonts w:eastAsia="Times New Roman" w:cs="Arial"/>
                <w:lang w:eastAsia="da-DK"/>
              </w:rPr>
              <w:t>Sundhed og Omsorg</w:t>
            </w:r>
          </w:p>
        </w:tc>
        <w:tc>
          <w:tcPr>
            <w:tcW w:w="1116" w:type="dxa"/>
            <w:tcBorders>
              <w:left w:val="nil"/>
              <w:right w:val="nil"/>
            </w:tcBorders>
            <w:shd w:val="clear" w:color="auto" w:fill="DBE5F1" w:themeFill="accent1" w:themeFillTint="33"/>
            <w:vAlign w:val="center"/>
          </w:tcPr>
          <w:p w14:paraId="2D8189EA" w14:textId="77777777" w:rsidR="009D5FA1" w:rsidRPr="00001423" w:rsidRDefault="009D5FA1" w:rsidP="001A16EF">
            <w:pPr>
              <w:spacing w:before="60" w:after="60" w:line="240" w:lineRule="auto"/>
              <w:jc w:val="right"/>
            </w:pPr>
            <w:r w:rsidRPr="00001423">
              <w:t>13,5%</w:t>
            </w:r>
          </w:p>
        </w:tc>
        <w:tc>
          <w:tcPr>
            <w:tcW w:w="1027" w:type="dxa"/>
            <w:tcBorders>
              <w:left w:val="nil"/>
              <w:right w:val="nil"/>
            </w:tcBorders>
            <w:shd w:val="clear" w:color="auto" w:fill="DBE5F1" w:themeFill="accent1" w:themeFillTint="33"/>
            <w:noWrap/>
            <w:vAlign w:val="center"/>
          </w:tcPr>
          <w:p w14:paraId="5D9492D9" w14:textId="77777777" w:rsidR="009D5FA1" w:rsidRPr="00001423" w:rsidRDefault="009D5FA1" w:rsidP="001A16EF">
            <w:pPr>
              <w:spacing w:before="60" w:after="60" w:line="240" w:lineRule="auto"/>
              <w:jc w:val="right"/>
            </w:pPr>
            <w:r w:rsidRPr="00001423">
              <w:t>2.349</w:t>
            </w:r>
          </w:p>
        </w:tc>
        <w:tc>
          <w:tcPr>
            <w:tcW w:w="1026" w:type="dxa"/>
            <w:gridSpan w:val="2"/>
            <w:tcBorders>
              <w:left w:val="nil"/>
              <w:right w:val="nil"/>
            </w:tcBorders>
            <w:shd w:val="clear" w:color="auto" w:fill="DBE5F1" w:themeFill="accent1" w:themeFillTint="33"/>
            <w:noWrap/>
            <w:vAlign w:val="center"/>
          </w:tcPr>
          <w:p w14:paraId="27D27B8E" w14:textId="77777777" w:rsidR="009D5FA1" w:rsidRPr="00001423" w:rsidRDefault="009D5FA1" w:rsidP="001A16EF">
            <w:pPr>
              <w:spacing w:before="60" w:after="60" w:line="240" w:lineRule="auto"/>
              <w:jc w:val="right"/>
            </w:pPr>
            <w:r w:rsidRPr="00001423">
              <w:t>2.349</w:t>
            </w:r>
          </w:p>
        </w:tc>
        <w:tc>
          <w:tcPr>
            <w:tcW w:w="1027" w:type="dxa"/>
            <w:tcBorders>
              <w:left w:val="nil"/>
              <w:right w:val="nil"/>
            </w:tcBorders>
            <w:shd w:val="clear" w:color="auto" w:fill="DBE5F1" w:themeFill="accent1" w:themeFillTint="33"/>
            <w:noWrap/>
            <w:vAlign w:val="center"/>
          </w:tcPr>
          <w:p w14:paraId="50DABF91" w14:textId="77777777" w:rsidR="009D5FA1" w:rsidRPr="00001423" w:rsidRDefault="009D5FA1" w:rsidP="001A16EF">
            <w:pPr>
              <w:spacing w:before="60" w:after="60" w:line="240" w:lineRule="auto"/>
              <w:jc w:val="right"/>
            </w:pPr>
            <w:r w:rsidRPr="00001423">
              <w:t>2.349</w:t>
            </w:r>
          </w:p>
        </w:tc>
        <w:tc>
          <w:tcPr>
            <w:tcW w:w="1027" w:type="dxa"/>
            <w:tcBorders>
              <w:left w:val="nil"/>
              <w:right w:val="nil"/>
            </w:tcBorders>
            <w:shd w:val="clear" w:color="auto" w:fill="DBE5F1" w:themeFill="accent1" w:themeFillTint="33"/>
            <w:noWrap/>
            <w:vAlign w:val="center"/>
          </w:tcPr>
          <w:p w14:paraId="72F3F45D" w14:textId="77777777" w:rsidR="009D5FA1" w:rsidRPr="00001423" w:rsidRDefault="009D5FA1" w:rsidP="001A16EF">
            <w:pPr>
              <w:spacing w:before="60" w:after="60" w:line="240" w:lineRule="auto"/>
              <w:jc w:val="right"/>
            </w:pPr>
            <w:r w:rsidRPr="00001423">
              <w:t>2.349</w:t>
            </w:r>
          </w:p>
        </w:tc>
      </w:tr>
      <w:tr w:rsidR="009D5FA1" w:rsidRPr="00001423" w14:paraId="1BF71AEF" w14:textId="77777777" w:rsidTr="001A16EF">
        <w:trPr>
          <w:trHeight w:val="299"/>
        </w:trPr>
        <w:tc>
          <w:tcPr>
            <w:tcW w:w="3454" w:type="dxa"/>
            <w:tcBorders>
              <w:left w:val="nil"/>
              <w:bottom w:val="nil"/>
              <w:right w:val="nil"/>
            </w:tcBorders>
            <w:shd w:val="clear" w:color="auto" w:fill="DBE5F1" w:themeFill="accent1" w:themeFillTint="33"/>
            <w:noWrap/>
            <w:vAlign w:val="center"/>
            <w:hideMark/>
          </w:tcPr>
          <w:p w14:paraId="5D0CF81B" w14:textId="77777777" w:rsidR="009D5FA1" w:rsidRPr="00001423" w:rsidRDefault="009D5FA1" w:rsidP="001A16EF">
            <w:pPr>
              <w:spacing w:line="240" w:lineRule="auto"/>
              <w:rPr>
                <w:rFonts w:eastAsia="Times New Roman" w:cs="Arial"/>
                <w:lang w:eastAsia="da-DK"/>
              </w:rPr>
            </w:pPr>
            <w:r w:rsidRPr="00001423">
              <w:rPr>
                <w:rFonts w:eastAsia="Times New Roman" w:cs="Arial"/>
                <w:lang w:eastAsia="da-DK"/>
              </w:rPr>
              <w:t>Kultur og Borgerservice</w:t>
            </w:r>
          </w:p>
        </w:tc>
        <w:tc>
          <w:tcPr>
            <w:tcW w:w="1116" w:type="dxa"/>
            <w:tcBorders>
              <w:left w:val="nil"/>
              <w:bottom w:val="nil"/>
              <w:right w:val="nil"/>
            </w:tcBorders>
            <w:shd w:val="clear" w:color="auto" w:fill="DBE5F1" w:themeFill="accent1" w:themeFillTint="33"/>
            <w:vAlign w:val="center"/>
          </w:tcPr>
          <w:p w14:paraId="559708A9" w14:textId="77777777" w:rsidR="009D5FA1" w:rsidRPr="00001423" w:rsidRDefault="009D5FA1" w:rsidP="001A16EF">
            <w:pPr>
              <w:spacing w:before="60" w:after="60" w:line="240" w:lineRule="auto"/>
              <w:jc w:val="right"/>
            </w:pPr>
            <w:r w:rsidRPr="00001423">
              <w:t>6,8%</w:t>
            </w:r>
          </w:p>
        </w:tc>
        <w:tc>
          <w:tcPr>
            <w:tcW w:w="1027" w:type="dxa"/>
            <w:tcBorders>
              <w:left w:val="nil"/>
              <w:bottom w:val="nil"/>
              <w:right w:val="nil"/>
            </w:tcBorders>
            <w:shd w:val="clear" w:color="auto" w:fill="DBE5F1" w:themeFill="accent1" w:themeFillTint="33"/>
            <w:noWrap/>
            <w:vAlign w:val="center"/>
          </w:tcPr>
          <w:p w14:paraId="1E3427F8" w14:textId="77777777" w:rsidR="009D5FA1" w:rsidRPr="00001423" w:rsidRDefault="009D5FA1" w:rsidP="001A16EF">
            <w:pPr>
              <w:spacing w:before="60" w:after="60" w:line="240" w:lineRule="auto"/>
              <w:jc w:val="right"/>
            </w:pPr>
            <w:r w:rsidRPr="00001423">
              <w:t>1.183</w:t>
            </w:r>
          </w:p>
        </w:tc>
        <w:tc>
          <w:tcPr>
            <w:tcW w:w="1026" w:type="dxa"/>
            <w:gridSpan w:val="2"/>
            <w:tcBorders>
              <w:left w:val="nil"/>
              <w:bottom w:val="nil"/>
              <w:right w:val="nil"/>
            </w:tcBorders>
            <w:shd w:val="clear" w:color="auto" w:fill="DBE5F1" w:themeFill="accent1" w:themeFillTint="33"/>
            <w:noWrap/>
            <w:vAlign w:val="center"/>
          </w:tcPr>
          <w:p w14:paraId="51EE1023" w14:textId="77777777" w:rsidR="009D5FA1" w:rsidRPr="00001423" w:rsidRDefault="009D5FA1" w:rsidP="001A16EF">
            <w:pPr>
              <w:spacing w:before="60" w:after="60" w:line="240" w:lineRule="auto"/>
              <w:jc w:val="right"/>
            </w:pPr>
            <w:r w:rsidRPr="00001423">
              <w:t>1.183</w:t>
            </w:r>
          </w:p>
        </w:tc>
        <w:tc>
          <w:tcPr>
            <w:tcW w:w="1027" w:type="dxa"/>
            <w:tcBorders>
              <w:left w:val="nil"/>
              <w:bottom w:val="nil"/>
              <w:right w:val="nil"/>
            </w:tcBorders>
            <w:shd w:val="clear" w:color="auto" w:fill="DBE5F1" w:themeFill="accent1" w:themeFillTint="33"/>
            <w:noWrap/>
            <w:vAlign w:val="center"/>
          </w:tcPr>
          <w:p w14:paraId="34EDEDA6" w14:textId="77777777" w:rsidR="009D5FA1" w:rsidRPr="00001423" w:rsidRDefault="009D5FA1" w:rsidP="001A16EF">
            <w:pPr>
              <w:spacing w:before="60" w:after="60" w:line="240" w:lineRule="auto"/>
              <w:jc w:val="right"/>
            </w:pPr>
            <w:r w:rsidRPr="00001423">
              <w:t>1.183</w:t>
            </w:r>
          </w:p>
        </w:tc>
        <w:tc>
          <w:tcPr>
            <w:tcW w:w="1027" w:type="dxa"/>
            <w:tcBorders>
              <w:left w:val="nil"/>
              <w:bottom w:val="nil"/>
              <w:right w:val="nil"/>
            </w:tcBorders>
            <w:shd w:val="clear" w:color="auto" w:fill="DBE5F1" w:themeFill="accent1" w:themeFillTint="33"/>
            <w:noWrap/>
            <w:vAlign w:val="center"/>
          </w:tcPr>
          <w:p w14:paraId="26C2D877" w14:textId="77777777" w:rsidR="009D5FA1" w:rsidRPr="00001423" w:rsidRDefault="009D5FA1" w:rsidP="001A16EF">
            <w:pPr>
              <w:spacing w:before="60" w:after="60" w:line="240" w:lineRule="auto"/>
              <w:jc w:val="right"/>
            </w:pPr>
            <w:r w:rsidRPr="00001423">
              <w:t>1.183</w:t>
            </w:r>
          </w:p>
        </w:tc>
      </w:tr>
      <w:tr w:rsidR="009D5FA1" w:rsidRPr="00001423" w14:paraId="4D8D13F4" w14:textId="77777777" w:rsidTr="001A16EF">
        <w:trPr>
          <w:trHeight w:val="80"/>
        </w:trPr>
        <w:tc>
          <w:tcPr>
            <w:tcW w:w="3454" w:type="dxa"/>
            <w:tcBorders>
              <w:top w:val="nil"/>
              <w:left w:val="nil"/>
              <w:bottom w:val="nil"/>
              <w:right w:val="nil"/>
            </w:tcBorders>
            <w:shd w:val="clear" w:color="auto" w:fill="DBE5F1" w:themeFill="accent1" w:themeFillTint="33"/>
            <w:noWrap/>
            <w:vAlign w:val="center"/>
            <w:hideMark/>
          </w:tcPr>
          <w:p w14:paraId="71D10429" w14:textId="77777777" w:rsidR="009D5FA1" w:rsidRPr="00001423" w:rsidRDefault="009D5FA1" w:rsidP="001A16EF">
            <w:pPr>
              <w:spacing w:line="240" w:lineRule="auto"/>
              <w:rPr>
                <w:rFonts w:eastAsia="Times New Roman" w:cs="Arial"/>
                <w:lang w:eastAsia="da-DK"/>
              </w:rPr>
            </w:pPr>
            <w:r w:rsidRPr="00001423">
              <w:rPr>
                <w:rFonts w:eastAsia="Times New Roman" w:cs="Arial"/>
                <w:lang w:eastAsia="da-DK"/>
              </w:rPr>
              <w:t>Teknik og Miljø</w:t>
            </w:r>
          </w:p>
        </w:tc>
        <w:tc>
          <w:tcPr>
            <w:tcW w:w="1116" w:type="dxa"/>
            <w:tcBorders>
              <w:top w:val="nil"/>
              <w:left w:val="nil"/>
              <w:bottom w:val="nil"/>
              <w:right w:val="nil"/>
            </w:tcBorders>
            <w:shd w:val="clear" w:color="auto" w:fill="DBE5F1" w:themeFill="accent1" w:themeFillTint="33"/>
            <w:vAlign w:val="center"/>
          </w:tcPr>
          <w:p w14:paraId="7A9981B7" w14:textId="77777777" w:rsidR="009D5FA1" w:rsidRPr="00001423" w:rsidRDefault="009D5FA1" w:rsidP="001A16EF">
            <w:pPr>
              <w:spacing w:before="60" w:after="60" w:line="240" w:lineRule="auto"/>
              <w:jc w:val="right"/>
            </w:pPr>
            <w:r w:rsidRPr="00001423">
              <w:t>8,1%</w:t>
            </w:r>
          </w:p>
        </w:tc>
        <w:tc>
          <w:tcPr>
            <w:tcW w:w="1027" w:type="dxa"/>
            <w:tcBorders>
              <w:top w:val="nil"/>
              <w:left w:val="nil"/>
              <w:bottom w:val="nil"/>
              <w:right w:val="nil"/>
            </w:tcBorders>
            <w:shd w:val="clear" w:color="auto" w:fill="DBE5F1" w:themeFill="accent1" w:themeFillTint="33"/>
            <w:noWrap/>
            <w:vAlign w:val="center"/>
          </w:tcPr>
          <w:p w14:paraId="6E124E2D" w14:textId="77777777" w:rsidR="009D5FA1" w:rsidRPr="00001423" w:rsidRDefault="009D5FA1" w:rsidP="001A16EF">
            <w:pPr>
              <w:spacing w:before="60" w:after="60" w:line="240" w:lineRule="auto"/>
              <w:jc w:val="right"/>
            </w:pPr>
            <w:r w:rsidRPr="00001423">
              <w:t>1.409</w:t>
            </w:r>
          </w:p>
        </w:tc>
        <w:tc>
          <w:tcPr>
            <w:tcW w:w="1026" w:type="dxa"/>
            <w:gridSpan w:val="2"/>
            <w:tcBorders>
              <w:top w:val="nil"/>
              <w:left w:val="nil"/>
              <w:bottom w:val="nil"/>
              <w:right w:val="nil"/>
            </w:tcBorders>
            <w:shd w:val="clear" w:color="auto" w:fill="DBE5F1" w:themeFill="accent1" w:themeFillTint="33"/>
            <w:noWrap/>
            <w:vAlign w:val="center"/>
          </w:tcPr>
          <w:p w14:paraId="4F4E0890" w14:textId="77777777" w:rsidR="009D5FA1" w:rsidRPr="00001423" w:rsidRDefault="009D5FA1" w:rsidP="001A16EF">
            <w:pPr>
              <w:spacing w:before="60" w:after="60" w:line="240" w:lineRule="auto"/>
              <w:jc w:val="right"/>
            </w:pPr>
            <w:r w:rsidRPr="00001423">
              <w:t>1.409</w:t>
            </w:r>
          </w:p>
        </w:tc>
        <w:tc>
          <w:tcPr>
            <w:tcW w:w="1027" w:type="dxa"/>
            <w:tcBorders>
              <w:top w:val="nil"/>
              <w:left w:val="nil"/>
              <w:bottom w:val="nil"/>
              <w:right w:val="nil"/>
            </w:tcBorders>
            <w:shd w:val="clear" w:color="auto" w:fill="DBE5F1" w:themeFill="accent1" w:themeFillTint="33"/>
            <w:noWrap/>
            <w:vAlign w:val="center"/>
          </w:tcPr>
          <w:p w14:paraId="7FAB4BA8" w14:textId="77777777" w:rsidR="009D5FA1" w:rsidRPr="00001423" w:rsidRDefault="009D5FA1" w:rsidP="001A16EF">
            <w:pPr>
              <w:spacing w:before="60" w:after="60" w:line="240" w:lineRule="auto"/>
              <w:jc w:val="right"/>
            </w:pPr>
            <w:r w:rsidRPr="00001423">
              <w:t>1.409</w:t>
            </w:r>
          </w:p>
        </w:tc>
        <w:tc>
          <w:tcPr>
            <w:tcW w:w="1027" w:type="dxa"/>
            <w:tcBorders>
              <w:top w:val="nil"/>
              <w:left w:val="nil"/>
              <w:bottom w:val="nil"/>
              <w:right w:val="nil"/>
            </w:tcBorders>
            <w:shd w:val="clear" w:color="auto" w:fill="DBE5F1" w:themeFill="accent1" w:themeFillTint="33"/>
            <w:noWrap/>
            <w:vAlign w:val="center"/>
          </w:tcPr>
          <w:p w14:paraId="698279F1" w14:textId="77777777" w:rsidR="009D5FA1" w:rsidRPr="00001423" w:rsidRDefault="009D5FA1" w:rsidP="001A16EF">
            <w:pPr>
              <w:spacing w:before="60" w:after="60" w:line="240" w:lineRule="auto"/>
              <w:jc w:val="right"/>
            </w:pPr>
            <w:r w:rsidRPr="00001423">
              <w:t>1.409</w:t>
            </w:r>
          </w:p>
        </w:tc>
      </w:tr>
      <w:tr w:rsidR="009D5FA1" w:rsidRPr="00001423" w14:paraId="39CCD4C0" w14:textId="77777777" w:rsidTr="001A16EF">
        <w:trPr>
          <w:trHeight w:val="80"/>
        </w:trPr>
        <w:tc>
          <w:tcPr>
            <w:tcW w:w="3454" w:type="dxa"/>
            <w:tcBorders>
              <w:top w:val="nil"/>
              <w:left w:val="nil"/>
              <w:bottom w:val="nil"/>
              <w:right w:val="nil"/>
            </w:tcBorders>
            <w:shd w:val="clear" w:color="auto" w:fill="DBE5F1" w:themeFill="accent1" w:themeFillTint="33"/>
            <w:noWrap/>
            <w:vAlign w:val="center"/>
            <w:hideMark/>
          </w:tcPr>
          <w:p w14:paraId="384345B7" w14:textId="77777777" w:rsidR="009D5FA1" w:rsidRPr="00001423" w:rsidRDefault="009D5FA1" w:rsidP="001A16EF">
            <w:pPr>
              <w:spacing w:line="240" w:lineRule="auto"/>
              <w:rPr>
                <w:rFonts w:eastAsia="Times New Roman" w:cs="Arial"/>
                <w:lang w:eastAsia="da-DK"/>
              </w:rPr>
            </w:pPr>
            <w:r w:rsidRPr="00001423">
              <w:rPr>
                <w:rFonts w:eastAsia="Times New Roman" w:cs="Arial"/>
                <w:lang w:eastAsia="da-DK"/>
              </w:rPr>
              <w:t>Borgmesterens Afdeling</w:t>
            </w:r>
          </w:p>
        </w:tc>
        <w:tc>
          <w:tcPr>
            <w:tcW w:w="1116" w:type="dxa"/>
            <w:tcBorders>
              <w:top w:val="nil"/>
              <w:left w:val="nil"/>
              <w:bottom w:val="nil"/>
              <w:right w:val="nil"/>
            </w:tcBorders>
            <w:shd w:val="clear" w:color="auto" w:fill="DBE5F1" w:themeFill="accent1" w:themeFillTint="33"/>
            <w:vAlign w:val="center"/>
          </w:tcPr>
          <w:p w14:paraId="07D661AA" w14:textId="77777777" w:rsidR="009D5FA1" w:rsidRPr="00001423" w:rsidRDefault="009D5FA1" w:rsidP="001A16EF">
            <w:pPr>
              <w:spacing w:before="60" w:after="60" w:line="240" w:lineRule="auto"/>
              <w:jc w:val="right"/>
            </w:pPr>
            <w:r w:rsidRPr="00001423">
              <w:t>15,3%</w:t>
            </w:r>
          </w:p>
        </w:tc>
        <w:tc>
          <w:tcPr>
            <w:tcW w:w="1027" w:type="dxa"/>
            <w:tcBorders>
              <w:top w:val="nil"/>
              <w:left w:val="nil"/>
              <w:bottom w:val="nil"/>
              <w:right w:val="nil"/>
            </w:tcBorders>
            <w:shd w:val="clear" w:color="auto" w:fill="DBE5F1" w:themeFill="accent1" w:themeFillTint="33"/>
            <w:noWrap/>
            <w:vAlign w:val="center"/>
          </w:tcPr>
          <w:p w14:paraId="466D649D" w14:textId="77777777" w:rsidR="009D5FA1" w:rsidRPr="00001423" w:rsidRDefault="009D5FA1" w:rsidP="001A16EF">
            <w:pPr>
              <w:spacing w:before="60" w:after="60" w:line="240" w:lineRule="auto"/>
              <w:jc w:val="right"/>
            </w:pPr>
            <w:r w:rsidRPr="00001423">
              <w:t>2.662</w:t>
            </w:r>
          </w:p>
        </w:tc>
        <w:tc>
          <w:tcPr>
            <w:tcW w:w="1026" w:type="dxa"/>
            <w:gridSpan w:val="2"/>
            <w:tcBorders>
              <w:top w:val="nil"/>
              <w:left w:val="nil"/>
              <w:bottom w:val="nil"/>
              <w:right w:val="nil"/>
            </w:tcBorders>
            <w:shd w:val="clear" w:color="auto" w:fill="DBE5F1" w:themeFill="accent1" w:themeFillTint="33"/>
            <w:noWrap/>
            <w:vAlign w:val="center"/>
          </w:tcPr>
          <w:p w14:paraId="6DB9BB2A" w14:textId="77777777" w:rsidR="009D5FA1" w:rsidRPr="00001423" w:rsidRDefault="009D5FA1" w:rsidP="001A16EF">
            <w:pPr>
              <w:spacing w:before="60" w:after="60" w:line="240" w:lineRule="auto"/>
              <w:jc w:val="right"/>
            </w:pPr>
            <w:r w:rsidRPr="00001423">
              <w:t>2.662</w:t>
            </w:r>
          </w:p>
        </w:tc>
        <w:tc>
          <w:tcPr>
            <w:tcW w:w="1027" w:type="dxa"/>
            <w:tcBorders>
              <w:top w:val="nil"/>
              <w:left w:val="nil"/>
              <w:bottom w:val="nil"/>
              <w:right w:val="nil"/>
            </w:tcBorders>
            <w:shd w:val="clear" w:color="auto" w:fill="DBE5F1" w:themeFill="accent1" w:themeFillTint="33"/>
            <w:noWrap/>
            <w:vAlign w:val="center"/>
          </w:tcPr>
          <w:p w14:paraId="094E3C30" w14:textId="77777777" w:rsidR="009D5FA1" w:rsidRPr="00001423" w:rsidRDefault="009D5FA1" w:rsidP="001A16EF">
            <w:pPr>
              <w:spacing w:before="60" w:after="60" w:line="240" w:lineRule="auto"/>
              <w:jc w:val="right"/>
            </w:pPr>
            <w:r w:rsidRPr="00001423">
              <w:t>2.662</w:t>
            </w:r>
          </w:p>
        </w:tc>
        <w:tc>
          <w:tcPr>
            <w:tcW w:w="1027" w:type="dxa"/>
            <w:tcBorders>
              <w:top w:val="nil"/>
              <w:left w:val="nil"/>
              <w:bottom w:val="nil"/>
              <w:right w:val="nil"/>
            </w:tcBorders>
            <w:shd w:val="clear" w:color="auto" w:fill="DBE5F1" w:themeFill="accent1" w:themeFillTint="33"/>
            <w:noWrap/>
            <w:vAlign w:val="center"/>
          </w:tcPr>
          <w:p w14:paraId="1967AFB8" w14:textId="77777777" w:rsidR="009D5FA1" w:rsidRPr="00001423" w:rsidRDefault="009D5FA1" w:rsidP="001A16EF">
            <w:pPr>
              <w:spacing w:before="60" w:after="60" w:line="240" w:lineRule="auto"/>
              <w:jc w:val="right"/>
            </w:pPr>
            <w:r w:rsidRPr="00001423">
              <w:t>2.662</w:t>
            </w:r>
          </w:p>
        </w:tc>
      </w:tr>
      <w:tr w:rsidR="009D5FA1" w:rsidRPr="00001423" w14:paraId="2B964913" w14:textId="77777777" w:rsidTr="001A16EF">
        <w:trPr>
          <w:trHeight w:val="299"/>
        </w:trPr>
        <w:tc>
          <w:tcPr>
            <w:tcW w:w="3454" w:type="dxa"/>
            <w:tcBorders>
              <w:top w:val="single" w:sz="4" w:space="0" w:color="auto"/>
              <w:left w:val="nil"/>
              <w:bottom w:val="single" w:sz="4" w:space="0" w:color="auto"/>
              <w:right w:val="nil"/>
            </w:tcBorders>
            <w:shd w:val="clear" w:color="auto" w:fill="DBE5F1" w:themeFill="accent1" w:themeFillTint="33"/>
            <w:noWrap/>
            <w:vAlign w:val="center"/>
            <w:hideMark/>
          </w:tcPr>
          <w:p w14:paraId="020A985B" w14:textId="77777777" w:rsidR="009D5FA1" w:rsidRPr="00001423" w:rsidRDefault="009D5FA1" w:rsidP="001A16EF">
            <w:pPr>
              <w:spacing w:line="240" w:lineRule="auto"/>
              <w:rPr>
                <w:rFonts w:eastAsia="Times New Roman" w:cs="Arial"/>
                <w:b/>
                <w:bCs/>
                <w:lang w:eastAsia="da-DK"/>
              </w:rPr>
            </w:pPr>
            <w:r w:rsidRPr="00001423">
              <w:rPr>
                <w:rFonts w:eastAsia="Times New Roman" w:cs="Arial"/>
                <w:b/>
                <w:bCs/>
                <w:lang w:eastAsia="da-DK"/>
              </w:rPr>
              <w:t>I alt </w:t>
            </w:r>
          </w:p>
        </w:tc>
        <w:tc>
          <w:tcPr>
            <w:tcW w:w="1116" w:type="dxa"/>
            <w:tcBorders>
              <w:top w:val="single" w:sz="4" w:space="0" w:color="auto"/>
              <w:left w:val="nil"/>
              <w:bottom w:val="single" w:sz="4" w:space="0" w:color="auto"/>
              <w:right w:val="nil"/>
            </w:tcBorders>
            <w:shd w:val="clear" w:color="auto" w:fill="DBE5F1" w:themeFill="accent1" w:themeFillTint="33"/>
            <w:vAlign w:val="center"/>
          </w:tcPr>
          <w:p w14:paraId="6B837CED" w14:textId="77777777" w:rsidR="009D5FA1" w:rsidRPr="00001423" w:rsidRDefault="009D5FA1" w:rsidP="001A16EF">
            <w:pPr>
              <w:spacing w:before="60" w:after="60" w:line="240" w:lineRule="auto"/>
              <w:jc w:val="right"/>
              <w:rPr>
                <w:b/>
                <w:bCs/>
              </w:rPr>
            </w:pPr>
            <w:r w:rsidRPr="00001423">
              <w:rPr>
                <w:b/>
                <w:bCs/>
              </w:rPr>
              <w:t>100 %</w:t>
            </w:r>
          </w:p>
        </w:tc>
        <w:tc>
          <w:tcPr>
            <w:tcW w:w="1027" w:type="dxa"/>
            <w:tcBorders>
              <w:top w:val="single" w:sz="4" w:space="0" w:color="auto"/>
              <w:left w:val="nil"/>
              <w:bottom w:val="single" w:sz="4" w:space="0" w:color="auto"/>
              <w:right w:val="nil"/>
            </w:tcBorders>
            <w:shd w:val="clear" w:color="auto" w:fill="DBE5F1" w:themeFill="accent1" w:themeFillTint="33"/>
            <w:noWrap/>
            <w:vAlign w:val="center"/>
            <w:hideMark/>
          </w:tcPr>
          <w:p w14:paraId="2E5C6DD6" w14:textId="77777777" w:rsidR="009D5FA1" w:rsidRPr="00001423" w:rsidRDefault="009D5FA1" w:rsidP="001A16EF">
            <w:pPr>
              <w:spacing w:before="60" w:after="60" w:line="240" w:lineRule="auto"/>
              <w:jc w:val="right"/>
              <w:rPr>
                <w:rFonts w:cs="Arial"/>
                <w:b/>
                <w:bCs/>
                <w:color w:val="000000"/>
              </w:rPr>
            </w:pPr>
            <w:r w:rsidRPr="00001423">
              <w:rPr>
                <w:b/>
                <w:bCs/>
              </w:rPr>
              <w:t>17.400</w:t>
            </w:r>
          </w:p>
        </w:tc>
        <w:tc>
          <w:tcPr>
            <w:tcW w:w="1026" w:type="dxa"/>
            <w:gridSpan w:val="2"/>
            <w:tcBorders>
              <w:top w:val="single" w:sz="4" w:space="0" w:color="auto"/>
              <w:left w:val="nil"/>
              <w:bottom w:val="single" w:sz="4" w:space="0" w:color="auto"/>
              <w:right w:val="nil"/>
            </w:tcBorders>
            <w:shd w:val="clear" w:color="auto" w:fill="DBE5F1" w:themeFill="accent1" w:themeFillTint="33"/>
            <w:noWrap/>
            <w:vAlign w:val="center"/>
            <w:hideMark/>
          </w:tcPr>
          <w:p w14:paraId="2AEE7E24" w14:textId="77777777" w:rsidR="009D5FA1" w:rsidRPr="00001423" w:rsidRDefault="009D5FA1" w:rsidP="001A16EF">
            <w:pPr>
              <w:spacing w:before="60" w:after="60" w:line="240" w:lineRule="auto"/>
              <w:jc w:val="right"/>
              <w:rPr>
                <w:rFonts w:cs="Arial"/>
                <w:b/>
                <w:bCs/>
                <w:color w:val="000000"/>
              </w:rPr>
            </w:pPr>
            <w:r w:rsidRPr="00001423">
              <w:rPr>
                <w:b/>
                <w:bCs/>
              </w:rPr>
              <w:t>17.400</w:t>
            </w:r>
          </w:p>
        </w:tc>
        <w:tc>
          <w:tcPr>
            <w:tcW w:w="1027" w:type="dxa"/>
            <w:tcBorders>
              <w:top w:val="single" w:sz="4" w:space="0" w:color="auto"/>
              <w:left w:val="nil"/>
              <w:bottom w:val="single" w:sz="4" w:space="0" w:color="auto"/>
              <w:right w:val="nil"/>
            </w:tcBorders>
            <w:shd w:val="clear" w:color="auto" w:fill="DBE5F1" w:themeFill="accent1" w:themeFillTint="33"/>
            <w:noWrap/>
            <w:vAlign w:val="center"/>
            <w:hideMark/>
          </w:tcPr>
          <w:p w14:paraId="1A69E4ED" w14:textId="77777777" w:rsidR="009D5FA1" w:rsidRPr="00001423" w:rsidRDefault="009D5FA1" w:rsidP="001A16EF">
            <w:pPr>
              <w:spacing w:before="60" w:after="60" w:line="240" w:lineRule="auto"/>
              <w:jc w:val="right"/>
              <w:rPr>
                <w:rFonts w:cs="Arial"/>
                <w:b/>
                <w:bCs/>
                <w:color w:val="000000"/>
              </w:rPr>
            </w:pPr>
            <w:r w:rsidRPr="00001423">
              <w:rPr>
                <w:b/>
                <w:bCs/>
              </w:rPr>
              <w:t>17.400</w:t>
            </w:r>
          </w:p>
        </w:tc>
        <w:tc>
          <w:tcPr>
            <w:tcW w:w="1027" w:type="dxa"/>
            <w:tcBorders>
              <w:top w:val="single" w:sz="4" w:space="0" w:color="auto"/>
              <w:left w:val="nil"/>
              <w:bottom w:val="single" w:sz="4" w:space="0" w:color="auto"/>
              <w:right w:val="nil"/>
            </w:tcBorders>
            <w:shd w:val="clear" w:color="auto" w:fill="DBE5F1" w:themeFill="accent1" w:themeFillTint="33"/>
            <w:noWrap/>
            <w:vAlign w:val="center"/>
            <w:hideMark/>
          </w:tcPr>
          <w:p w14:paraId="6B801443" w14:textId="77777777" w:rsidR="009D5FA1" w:rsidRPr="00001423" w:rsidRDefault="009D5FA1" w:rsidP="001A16EF">
            <w:pPr>
              <w:spacing w:before="60" w:after="60" w:line="240" w:lineRule="auto"/>
              <w:jc w:val="right"/>
              <w:rPr>
                <w:rFonts w:cs="Arial"/>
                <w:b/>
                <w:bCs/>
                <w:color w:val="000000"/>
              </w:rPr>
            </w:pPr>
            <w:r w:rsidRPr="00001423">
              <w:rPr>
                <w:b/>
                <w:bCs/>
              </w:rPr>
              <w:t>17.400</w:t>
            </w:r>
          </w:p>
        </w:tc>
      </w:tr>
    </w:tbl>
    <w:p w14:paraId="0B35803E" w14:textId="77777777" w:rsidR="009D5FA1" w:rsidRDefault="009D5FA1" w:rsidP="00CF44E0"/>
    <w:p w14:paraId="5F2441DE" w14:textId="77777777" w:rsidR="00E2197D" w:rsidRDefault="00E2197D" w:rsidP="00E2197D">
      <w:pPr>
        <w:spacing w:line="340" w:lineRule="atLeast"/>
        <w:jc w:val="both"/>
        <w:rPr>
          <w:rFonts w:ascii="Verdana" w:eastAsia="Calibri" w:hAnsi="Verdana"/>
          <w:sz w:val="22"/>
          <w:szCs w:val="22"/>
          <w:lang w:val="nb-NO"/>
        </w:rPr>
      </w:pPr>
      <w:bookmarkStart w:id="1" w:name="_Hlk194568487"/>
    </w:p>
    <w:p w14:paraId="4EDBC1A0" w14:textId="77777777" w:rsidR="00E2197D" w:rsidRDefault="00E2197D" w:rsidP="00E2197D">
      <w:pPr>
        <w:spacing w:line="340" w:lineRule="atLeast"/>
        <w:jc w:val="both"/>
        <w:rPr>
          <w:rFonts w:ascii="Verdana" w:eastAsia="Calibri" w:hAnsi="Verdana"/>
          <w:sz w:val="22"/>
          <w:szCs w:val="22"/>
          <w:lang w:val="nb-NO"/>
        </w:rPr>
      </w:pPr>
    </w:p>
    <w:p w14:paraId="0675ECBF" w14:textId="0CFFDD5C" w:rsidR="00E2197D" w:rsidRPr="00E2197D" w:rsidRDefault="00E2197D" w:rsidP="00E2197D">
      <w:pPr>
        <w:spacing w:line="340" w:lineRule="atLeast"/>
        <w:jc w:val="both"/>
        <w:rPr>
          <w:rFonts w:ascii="Verdana" w:eastAsia="Calibri" w:hAnsi="Verdana"/>
          <w:sz w:val="22"/>
          <w:szCs w:val="22"/>
          <w:lang w:val="nb-NO"/>
        </w:rPr>
      </w:pPr>
      <w:r w:rsidRPr="00E2197D">
        <w:rPr>
          <w:rFonts w:ascii="Verdana" w:eastAsia="Calibri" w:hAnsi="Verdana"/>
          <w:sz w:val="22"/>
          <w:szCs w:val="22"/>
          <w:lang w:val="nb-NO"/>
        </w:rPr>
        <w:t xml:space="preserve">Anders Winnerskjold </w:t>
      </w:r>
    </w:p>
    <w:p w14:paraId="750821E4" w14:textId="3C49B5EB" w:rsidR="00E2197D" w:rsidRPr="00E2197D" w:rsidRDefault="00E2197D" w:rsidP="00E2197D">
      <w:pPr>
        <w:spacing w:line="340" w:lineRule="atLeast"/>
        <w:jc w:val="both"/>
        <w:rPr>
          <w:rFonts w:ascii="Verdana" w:eastAsia="Calibri" w:hAnsi="Verdana"/>
          <w:sz w:val="22"/>
          <w:szCs w:val="22"/>
          <w:lang w:val="nb-NO"/>
        </w:rPr>
      </w:pPr>
      <w:bookmarkStart w:id="2" w:name="_Hlk194568498"/>
      <w:bookmarkEnd w:id="1"/>
      <w:r>
        <w:rPr>
          <w:rFonts w:ascii="Verdana" w:eastAsia="Calibri" w:hAnsi="Verdana"/>
          <w:sz w:val="22"/>
          <w:szCs w:val="22"/>
          <w:lang w:val="nb-NO"/>
        </w:rPr>
        <w:t>Borgmester</w:t>
      </w:r>
    </w:p>
    <w:bookmarkEnd w:id="2"/>
    <w:p w14:paraId="5409251B" w14:textId="77777777" w:rsidR="00E2197D" w:rsidRPr="00E2197D" w:rsidRDefault="00E2197D" w:rsidP="00E2197D">
      <w:pPr>
        <w:spacing w:line="340" w:lineRule="atLeast"/>
        <w:jc w:val="center"/>
        <w:rPr>
          <w:rFonts w:ascii="Verdana" w:eastAsia="Calibri" w:hAnsi="Verdana"/>
          <w:sz w:val="22"/>
          <w:szCs w:val="22"/>
          <w:lang w:val="nb-NO"/>
        </w:rPr>
      </w:pPr>
      <w:r w:rsidRPr="00E2197D">
        <w:rPr>
          <w:rFonts w:ascii="Verdana" w:eastAsia="Calibri" w:hAnsi="Verdana"/>
          <w:sz w:val="22"/>
          <w:szCs w:val="22"/>
          <w:lang w:val="nb-NO"/>
        </w:rPr>
        <w:t>/</w:t>
      </w:r>
    </w:p>
    <w:p w14:paraId="7DE1719E" w14:textId="4334713F" w:rsidR="00E2197D" w:rsidRPr="00E2197D" w:rsidRDefault="00E2197D" w:rsidP="00E2197D">
      <w:pPr>
        <w:spacing w:line="340" w:lineRule="atLeast"/>
        <w:jc w:val="right"/>
        <w:rPr>
          <w:rFonts w:ascii="Verdana" w:eastAsia="Calibri" w:hAnsi="Verdana"/>
          <w:sz w:val="22"/>
          <w:szCs w:val="22"/>
          <w:lang w:val="nb-NO"/>
        </w:rPr>
      </w:pPr>
      <w:r w:rsidRPr="00E2197D">
        <w:rPr>
          <w:rFonts w:ascii="Verdana" w:eastAsia="Calibri" w:hAnsi="Verdana"/>
          <w:sz w:val="22"/>
          <w:szCs w:val="22"/>
          <w:lang w:val="nb-NO"/>
        </w:rPr>
        <w:tab/>
      </w:r>
      <w:r w:rsidRPr="00E2197D">
        <w:rPr>
          <w:rFonts w:ascii="Verdana" w:eastAsia="Calibri" w:hAnsi="Verdana"/>
          <w:sz w:val="22"/>
          <w:szCs w:val="22"/>
          <w:lang w:val="nb-NO"/>
        </w:rPr>
        <w:tab/>
        <w:t xml:space="preserve">Martin Østergaard </w:t>
      </w:r>
      <w:r>
        <w:rPr>
          <w:rFonts w:ascii="Verdana" w:eastAsia="Calibri" w:hAnsi="Verdana"/>
          <w:sz w:val="22"/>
          <w:szCs w:val="22"/>
          <w:lang w:val="nb-NO"/>
        </w:rPr>
        <w:t>Christensen</w:t>
      </w:r>
    </w:p>
    <w:p w14:paraId="4CD0C16B" w14:textId="3B7C8FEE" w:rsidR="00E2197D" w:rsidRPr="00E2197D" w:rsidRDefault="00E2197D" w:rsidP="00E2197D">
      <w:pPr>
        <w:spacing w:line="340" w:lineRule="atLeast"/>
        <w:jc w:val="right"/>
        <w:rPr>
          <w:rFonts w:ascii="Verdana" w:eastAsia="Calibri" w:hAnsi="Verdana"/>
          <w:sz w:val="22"/>
          <w:szCs w:val="22"/>
          <w:lang w:val="nb-NO"/>
        </w:rPr>
      </w:pPr>
      <w:r>
        <w:rPr>
          <w:rFonts w:ascii="Verdana" w:eastAsia="Calibri" w:hAnsi="Verdana"/>
          <w:sz w:val="22"/>
          <w:szCs w:val="22"/>
          <w:lang w:val="nb-NO"/>
        </w:rPr>
        <w:t>Stadsdirektør</w:t>
      </w:r>
    </w:p>
    <w:p w14:paraId="134C915E" w14:textId="0D32CE1E" w:rsidR="00E2197D" w:rsidRDefault="00E2197D" w:rsidP="00CF44E0"/>
    <w:p w14:paraId="73CCC599" w14:textId="77777777" w:rsidR="00C15C75" w:rsidRDefault="00C15C75" w:rsidP="00CF44E0"/>
    <w:p w14:paraId="1BB42F87" w14:textId="71BB9C08" w:rsidR="00326D42" w:rsidRDefault="00326D42" w:rsidP="00326D42">
      <w:r>
        <w:t xml:space="preserve">Bilag 1: Børn og Unge </w:t>
      </w:r>
    </w:p>
    <w:p w14:paraId="6A900FD4" w14:textId="55E59D12" w:rsidR="00326D42" w:rsidRDefault="00326D42" w:rsidP="00326D42">
      <w:r>
        <w:t>Bilag 2: Sociale Forhold og Beskæftigelse</w:t>
      </w:r>
    </w:p>
    <w:p w14:paraId="33BC244A" w14:textId="22298FDF" w:rsidR="00326D42" w:rsidRDefault="00326D42" w:rsidP="00326D42">
      <w:r>
        <w:t>Bilag 3: Sundhed og Omsorg</w:t>
      </w:r>
    </w:p>
    <w:p w14:paraId="53C8F06A" w14:textId="115C45CC" w:rsidR="00326D42" w:rsidRDefault="00326D42" w:rsidP="00326D42">
      <w:r>
        <w:t>Bilag 4: Kultur og Borgerservice</w:t>
      </w:r>
    </w:p>
    <w:p w14:paraId="5EBC01ED" w14:textId="0B19E9F6" w:rsidR="00326D42" w:rsidRDefault="00326D42" w:rsidP="00326D42">
      <w:r>
        <w:t>Bilag 5: Teknik og Miljø</w:t>
      </w:r>
    </w:p>
    <w:p w14:paraId="5F5EA50C" w14:textId="07ED9B38" w:rsidR="00C15C75" w:rsidRDefault="00326D42" w:rsidP="00326D42">
      <w:r>
        <w:t>Bilag 6: Borgmesterens Afdeling</w:t>
      </w:r>
    </w:p>
    <w:p w14:paraId="77A9F704" w14:textId="77777777" w:rsidR="00C15C75" w:rsidRDefault="00C15C75" w:rsidP="00CF44E0"/>
    <w:p w14:paraId="74820F6C" w14:textId="77777777" w:rsidR="00936F0C" w:rsidRDefault="00936F0C">
      <w:pPr>
        <w:spacing w:line="300" w:lineRule="atLeast"/>
        <w:rPr>
          <w:rFonts w:eastAsiaTheme="majorEastAsia" w:cstheme="majorBidi"/>
          <w:b/>
          <w:bCs/>
          <w:sz w:val="22"/>
          <w:szCs w:val="28"/>
        </w:rPr>
      </w:pPr>
      <w:r>
        <w:br w:type="page"/>
      </w:r>
    </w:p>
    <w:p w14:paraId="542ABB0C" w14:textId="5E977C22" w:rsidR="00C15C75" w:rsidRDefault="00C15C75" w:rsidP="00C15C75">
      <w:pPr>
        <w:pStyle w:val="Overskrift1"/>
        <w:jc w:val="both"/>
      </w:pPr>
      <w:r>
        <w:lastRenderedPageBreak/>
        <w:t>Bilag 1. Børn og Unge</w:t>
      </w:r>
    </w:p>
    <w:p w14:paraId="78B5B7E2" w14:textId="77777777" w:rsidR="00C15C75" w:rsidRDefault="00C15C75" w:rsidP="00C15C75">
      <w:pPr>
        <w:jc w:val="both"/>
      </w:pPr>
      <w:r>
        <w:t>Børn og Unges borgernære drift varetages af dagtilbud, skoler og UngiAarhus. Faglige og administrative støttefunktioner varetages af Fællesfunktionerne. Det er også tilfældet for den administrative understøttelse af dagtilbud, skoler og UngiAarhus, som er samlet i Administrative Fællesskaber. Dog er der også borgernær drift i Fællesfunktionerne i form at sundhedspleje, tandpleje og PPR-betjening. Endvidere ligger der i de enkelte kontorer i fællesfunktionerne en række udgifter, som vedrører den borgernære drift, eller den borgernære drift i skoler, dag- og fritidstilbud. Det drejer sig eksempelvis om udgifter til befordring, samarbejdsaftaler med eksterne parter, hvis tilbud skoler, dag- og fritidstilbud herefter kan benytte, og udgifter vedrørende f.eks. uddannelse til meritpædagog.</w:t>
      </w:r>
    </w:p>
    <w:p w14:paraId="6E5C4718" w14:textId="77777777" w:rsidR="00C15C75" w:rsidRDefault="00C15C75" w:rsidP="00C15C75">
      <w:pPr>
        <w:jc w:val="both"/>
      </w:pPr>
    </w:p>
    <w:p w14:paraId="6520566F" w14:textId="77777777" w:rsidR="00C15C75" w:rsidRDefault="00C15C75" w:rsidP="00C15C75">
      <w:pPr>
        <w:jc w:val="both"/>
      </w:pPr>
      <w:r>
        <w:t>I Børn og Unge er de administrative besparelser med få undtagelser, se nedenfor i forhold til 2024, udmøntet på de administrative opgaver i Fællesfunktionerne. Det vil sige, at der ikke er udmøntet administrative besparelser i dagtilbud, skoler, UngiAarhus, sundhedsplejen, tandplejen og PPR-betjening.</w:t>
      </w:r>
    </w:p>
    <w:p w14:paraId="24A0BDC3" w14:textId="77777777" w:rsidR="00C15C75" w:rsidRDefault="00C15C75" w:rsidP="00C15C75">
      <w:pPr>
        <w:jc w:val="both"/>
      </w:pPr>
    </w:p>
    <w:p w14:paraId="459CA8B9" w14:textId="77777777" w:rsidR="00C15C75" w:rsidRPr="00C525F0" w:rsidRDefault="00C15C75" w:rsidP="00C15C75">
      <w:pPr>
        <w:jc w:val="both"/>
        <w:rPr>
          <w:b/>
          <w:bCs/>
        </w:rPr>
      </w:pPr>
      <w:r w:rsidRPr="00C525F0">
        <w:rPr>
          <w:b/>
          <w:bCs/>
        </w:rPr>
        <w:t>2024</w:t>
      </w:r>
    </w:p>
    <w:p w14:paraId="2601949B" w14:textId="77777777" w:rsidR="00C15C75" w:rsidRPr="00C525F0" w:rsidRDefault="00C15C75" w:rsidP="00C15C75">
      <w:pPr>
        <w:jc w:val="both"/>
      </w:pPr>
      <w:r w:rsidRPr="00C525F0">
        <w:t xml:space="preserve">De administrative besparelser fra budget 2024 i Børn og Unge udgør 14,0 mio. kr. Heraf </w:t>
      </w:r>
      <w:r>
        <w:t xml:space="preserve">er det i fordelingen på tværs af kommunen antaget, </w:t>
      </w:r>
      <w:r w:rsidRPr="00C525F0">
        <w:t>at 5,1 mio. kr. i 2024 stigende til 7,9 mio. kr. i 2027 kan findes via de tværmagistratslige temaer</w:t>
      </w:r>
      <w:r>
        <w:t>. Børn og Unge følger denne antagelse</w:t>
      </w:r>
      <w:r w:rsidRPr="00C525F0">
        <w:t>. Der er temaer, som berører alle dele af Børn og Unge, fx besparelser på MED-udvalg og indkøb af møbler. Den samlede besparelse på temaer, som vedrører hele Børn og Unge er 2,5 mio. kr. i 2024 stigende til 3,8 mio. kr. i 2027. Heraf er 2,3 mio. kr. i 2024 stigende til 3,4 mio. kr. i 2027 udmøntet i dagtilbud, skoler og UngiAarhus.</w:t>
      </w:r>
    </w:p>
    <w:p w14:paraId="25AEB828" w14:textId="77777777" w:rsidR="00C15C75" w:rsidRPr="00C525F0" w:rsidRDefault="00C15C75" w:rsidP="00C15C75">
      <w:pPr>
        <w:jc w:val="both"/>
      </w:pPr>
    </w:p>
    <w:p w14:paraId="3ADB92B3" w14:textId="77777777" w:rsidR="00C15C75" w:rsidRPr="00C525F0" w:rsidRDefault="00C15C75" w:rsidP="00C15C75">
      <w:pPr>
        <w:jc w:val="both"/>
      </w:pPr>
      <w:r w:rsidRPr="00C525F0">
        <w:t>De administrative besparelser i Børn og Unge er således udmøntet med 11,7 mio. kr. til centrale enheder svarende til 84 procent og 2,3 mio. kr. til dagtilbud, skoler og UngiAarhus svarende til 1</w:t>
      </w:r>
      <w:r>
        <w:t>6</w:t>
      </w:r>
      <w:r w:rsidRPr="00C525F0">
        <w:t xml:space="preserve"> procent. </w:t>
      </w:r>
    </w:p>
    <w:p w14:paraId="1497B166" w14:textId="77777777" w:rsidR="00C15C75" w:rsidRPr="00C525F0" w:rsidRDefault="00C15C75" w:rsidP="00C15C75">
      <w:pPr>
        <w:jc w:val="both"/>
      </w:pPr>
    </w:p>
    <w:p w14:paraId="1A7D5DC4" w14:textId="77777777" w:rsidR="00C15C75" w:rsidRPr="00C525F0" w:rsidRDefault="00C15C75" w:rsidP="00C15C75">
      <w:pPr>
        <w:jc w:val="both"/>
      </w:pPr>
      <w:r w:rsidRPr="00C525F0">
        <w:t xml:space="preserve">De administrative besparelser udgør </w:t>
      </w:r>
      <w:r>
        <w:t>3,9</w:t>
      </w:r>
      <w:r w:rsidRPr="00C525F0">
        <w:t xml:space="preserve"> procent af de centrale funktioners budgetter og 0,05 procent af de decentrale enheders budgetter.</w:t>
      </w:r>
      <w:r>
        <w:t xml:space="preserve"> Dette ud fra en forståelse, der definerer de centrale funktioner, som driften af kontorerne i fællesfunktionerne. </w:t>
      </w:r>
    </w:p>
    <w:p w14:paraId="5682D529" w14:textId="77777777" w:rsidR="00C15C75" w:rsidRDefault="00C15C75" w:rsidP="00C15C75">
      <w:pPr>
        <w:jc w:val="both"/>
      </w:pPr>
    </w:p>
    <w:p w14:paraId="74385F22" w14:textId="77777777" w:rsidR="00C15C75" w:rsidRPr="00C525F0" w:rsidRDefault="00C15C75" w:rsidP="00C15C75">
      <w:pPr>
        <w:jc w:val="both"/>
        <w:rPr>
          <w:b/>
          <w:bCs/>
        </w:rPr>
      </w:pPr>
      <w:r w:rsidRPr="00C525F0">
        <w:rPr>
          <w:b/>
          <w:bCs/>
        </w:rPr>
        <w:t>2025</w:t>
      </w:r>
    </w:p>
    <w:p w14:paraId="31A68201" w14:textId="77777777" w:rsidR="00C15C75" w:rsidRPr="00C525F0" w:rsidRDefault="00C15C75" w:rsidP="00C15C75">
      <w:pPr>
        <w:jc w:val="both"/>
      </w:pPr>
      <w:r w:rsidRPr="00C525F0">
        <w:t>De administrative besparelser fra budget 2025 i Børn og Unge udgør 4,9 mio. kr. Hele beløbet er udmøntet på centrale administrative enheder.</w:t>
      </w:r>
    </w:p>
    <w:p w14:paraId="5BD63482" w14:textId="77777777" w:rsidR="00C15C75" w:rsidRPr="00C525F0" w:rsidRDefault="00C15C75" w:rsidP="00C15C75">
      <w:pPr>
        <w:jc w:val="both"/>
      </w:pPr>
    </w:p>
    <w:p w14:paraId="43A93864" w14:textId="77777777" w:rsidR="00C15C75" w:rsidRDefault="00C15C75" w:rsidP="00C15C75">
      <w:pPr>
        <w:jc w:val="both"/>
      </w:pPr>
      <w:r w:rsidRPr="00C525F0">
        <w:t>De administrative besparelser fra budget 2025 udgør 1,</w:t>
      </w:r>
      <w:r>
        <w:t>6</w:t>
      </w:r>
      <w:r w:rsidRPr="00C525F0">
        <w:t xml:space="preserve"> procent af de centrale funktioners budgetter.</w:t>
      </w:r>
    </w:p>
    <w:p w14:paraId="38055416" w14:textId="77777777" w:rsidR="00C15C75" w:rsidRDefault="00C15C75" w:rsidP="00C15C75">
      <w:pPr>
        <w:jc w:val="both"/>
      </w:pPr>
    </w:p>
    <w:p w14:paraId="76DC0AB8" w14:textId="77777777" w:rsidR="00936F0C" w:rsidRDefault="00936F0C" w:rsidP="00C15C75">
      <w:pPr>
        <w:jc w:val="both"/>
      </w:pPr>
    </w:p>
    <w:p w14:paraId="129BB772" w14:textId="77777777" w:rsidR="00936F0C" w:rsidRDefault="00936F0C" w:rsidP="00C15C75">
      <w:pPr>
        <w:jc w:val="both"/>
      </w:pPr>
    </w:p>
    <w:p w14:paraId="52A164FC" w14:textId="77777777" w:rsidR="00936F0C" w:rsidRPr="00C525F0" w:rsidRDefault="00936F0C" w:rsidP="00C15C75">
      <w:pPr>
        <w:jc w:val="both"/>
      </w:pPr>
    </w:p>
    <w:p w14:paraId="4DE53403" w14:textId="77777777" w:rsidR="00C15C75" w:rsidRPr="00C525F0" w:rsidRDefault="00C15C75" w:rsidP="00C15C75">
      <w:pPr>
        <w:jc w:val="both"/>
      </w:pPr>
      <w:r w:rsidRPr="00C525F0">
        <w:rPr>
          <w:b/>
          <w:bCs/>
        </w:rPr>
        <w:lastRenderedPageBreak/>
        <w:t>Fremtidig udmøntning af administrative besparelser</w:t>
      </w:r>
    </w:p>
    <w:p w14:paraId="6D092F34" w14:textId="77777777" w:rsidR="00C15C75" w:rsidRPr="00C525F0" w:rsidRDefault="00C15C75" w:rsidP="00C15C75">
      <w:pPr>
        <w:jc w:val="both"/>
      </w:pPr>
      <w:r w:rsidRPr="00C525F0">
        <w:t>Børn og Unge har igangsat et arbejde med at finde administrative besparelser på en ny måde, hvor det er et fælles anliggende for Børn og Unge. De administrative besparelser til budget 2026 forventes udmøntet på centrale enheder, mens det ikke er besluttet endnu, hvordan de administrative besparelser udmøntes i de efterfølgende år.</w:t>
      </w:r>
    </w:p>
    <w:p w14:paraId="1464CF1C" w14:textId="77777777" w:rsidR="00C15C75" w:rsidRPr="000059C5" w:rsidRDefault="00C15C75" w:rsidP="00C15C75">
      <w:pPr>
        <w:jc w:val="both"/>
      </w:pPr>
    </w:p>
    <w:p w14:paraId="7A6A2A54" w14:textId="77777777" w:rsidR="00C15C75" w:rsidRDefault="00C15C75" w:rsidP="00C15C75">
      <w:pPr>
        <w:pStyle w:val="TabeloverskriftII"/>
        <w:ind w:left="0"/>
        <w:jc w:val="both"/>
      </w:pPr>
      <w:r>
        <w:t>Tabel 1: Udmøntning af administrative besparelser – Børn og Unge</w:t>
      </w:r>
    </w:p>
    <w:tbl>
      <w:tblPr>
        <w:tblW w:w="7584" w:type="dxa"/>
        <w:shd w:val="clear" w:color="auto" w:fill="DBE5F1" w:themeFill="accent1" w:themeFillTint="33"/>
        <w:tblCellMar>
          <w:left w:w="70" w:type="dxa"/>
          <w:right w:w="70" w:type="dxa"/>
        </w:tblCellMar>
        <w:tblLook w:val="04A0" w:firstRow="1" w:lastRow="0" w:firstColumn="1" w:lastColumn="0" w:noHBand="0" w:noVBand="1"/>
      </w:tblPr>
      <w:tblGrid>
        <w:gridCol w:w="5102"/>
        <w:gridCol w:w="1241"/>
        <w:gridCol w:w="1241"/>
      </w:tblGrid>
      <w:tr w:rsidR="00C15C75" w:rsidRPr="00001423" w14:paraId="31709716" w14:textId="77777777" w:rsidTr="0056420D">
        <w:trPr>
          <w:trHeight w:val="299"/>
        </w:trPr>
        <w:tc>
          <w:tcPr>
            <w:tcW w:w="5102" w:type="dxa"/>
            <w:tcBorders>
              <w:top w:val="single" w:sz="4" w:space="0" w:color="auto"/>
              <w:left w:val="nil"/>
              <w:bottom w:val="single" w:sz="4" w:space="0" w:color="auto"/>
              <w:right w:val="nil"/>
            </w:tcBorders>
            <w:shd w:val="clear" w:color="auto" w:fill="DBE5F1" w:themeFill="accent1" w:themeFillTint="33"/>
            <w:noWrap/>
            <w:vAlign w:val="bottom"/>
            <w:hideMark/>
          </w:tcPr>
          <w:p w14:paraId="55E6CB74" w14:textId="77777777" w:rsidR="00C15C75" w:rsidRPr="00001423" w:rsidRDefault="00C15C75" w:rsidP="00C15C75">
            <w:pPr>
              <w:spacing w:line="240" w:lineRule="auto"/>
              <w:jc w:val="both"/>
              <w:rPr>
                <w:rFonts w:eastAsia="Times New Roman" w:cs="Arial"/>
                <w:b/>
                <w:bCs/>
                <w:lang w:eastAsia="da-DK"/>
              </w:rPr>
            </w:pPr>
            <w:r w:rsidRPr="00001423">
              <w:rPr>
                <w:rFonts w:eastAsia="Times New Roman" w:cs="Arial"/>
                <w:lang w:eastAsia="da-DK"/>
              </w:rPr>
              <w:t>1.000 kr.</w:t>
            </w:r>
            <w:r>
              <w:rPr>
                <w:rFonts w:eastAsia="Times New Roman" w:cs="Arial"/>
                <w:lang w:eastAsia="da-DK"/>
              </w:rPr>
              <w:t xml:space="preserve"> (PL2025)</w:t>
            </w:r>
          </w:p>
        </w:tc>
        <w:tc>
          <w:tcPr>
            <w:tcW w:w="1241" w:type="dxa"/>
            <w:tcBorders>
              <w:top w:val="single" w:sz="4" w:space="0" w:color="auto"/>
              <w:left w:val="nil"/>
              <w:bottom w:val="single" w:sz="4" w:space="0" w:color="auto"/>
              <w:right w:val="nil"/>
            </w:tcBorders>
            <w:shd w:val="clear" w:color="auto" w:fill="DBE5F1" w:themeFill="accent1" w:themeFillTint="33"/>
            <w:noWrap/>
            <w:vAlign w:val="center"/>
          </w:tcPr>
          <w:p w14:paraId="1218138F" w14:textId="77777777" w:rsidR="00C15C75" w:rsidRPr="00001423" w:rsidRDefault="00C15C75" w:rsidP="00C15C75">
            <w:pPr>
              <w:spacing w:line="240" w:lineRule="auto"/>
              <w:jc w:val="both"/>
              <w:rPr>
                <w:rFonts w:eastAsia="Times New Roman" w:cs="Arial"/>
                <w:b/>
                <w:bCs/>
                <w:lang w:eastAsia="da-DK"/>
              </w:rPr>
            </w:pPr>
            <w:r>
              <w:rPr>
                <w:b/>
                <w:bCs/>
              </w:rPr>
              <w:t>2024</w:t>
            </w:r>
          </w:p>
        </w:tc>
        <w:tc>
          <w:tcPr>
            <w:tcW w:w="1241" w:type="dxa"/>
            <w:tcBorders>
              <w:top w:val="single" w:sz="4" w:space="0" w:color="auto"/>
              <w:left w:val="nil"/>
              <w:bottom w:val="single" w:sz="4" w:space="0" w:color="auto"/>
              <w:right w:val="nil"/>
            </w:tcBorders>
            <w:shd w:val="clear" w:color="auto" w:fill="DBE5F1" w:themeFill="accent1" w:themeFillTint="33"/>
            <w:noWrap/>
            <w:vAlign w:val="center"/>
          </w:tcPr>
          <w:p w14:paraId="40B31670" w14:textId="77777777" w:rsidR="00C15C75" w:rsidRPr="00001423" w:rsidRDefault="00C15C75" w:rsidP="00C15C75">
            <w:pPr>
              <w:spacing w:line="240" w:lineRule="auto"/>
              <w:jc w:val="both"/>
              <w:rPr>
                <w:rFonts w:eastAsia="Times New Roman" w:cs="Arial"/>
                <w:b/>
                <w:bCs/>
                <w:lang w:eastAsia="da-DK"/>
              </w:rPr>
            </w:pPr>
            <w:r>
              <w:rPr>
                <w:b/>
                <w:bCs/>
              </w:rPr>
              <w:t>2025</w:t>
            </w:r>
          </w:p>
        </w:tc>
      </w:tr>
      <w:tr w:rsidR="00C15C75" w:rsidRPr="00001423" w14:paraId="0713AD93" w14:textId="77777777" w:rsidTr="0056420D">
        <w:trPr>
          <w:trHeight w:val="106"/>
        </w:trPr>
        <w:tc>
          <w:tcPr>
            <w:tcW w:w="5102" w:type="dxa"/>
            <w:tcBorders>
              <w:top w:val="nil"/>
              <w:left w:val="nil"/>
              <w:right w:val="nil"/>
            </w:tcBorders>
            <w:shd w:val="clear" w:color="auto" w:fill="DBE5F1" w:themeFill="accent1" w:themeFillTint="33"/>
            <w:noWrap/>
            <w:vAlign w:val="center"/>
            <w:hideMark/>
          </w:tcPr>
          <w:p w14:paraId="4760FD02" w14:textId="77777777" w:rsidR="00C15C75" w:rsidRPr="00001423" w:rsidRDefault="00C15C75" w:rsidP="00C15C75">
            <w:pPr>
              <w:spacing w:line="240" w:lineRule="auto"/>
              <w:jc w:val="both"/>
              <w:rPr>
                <w:rFonts w:eastAsia="Times New Roman" w:cs="Arial"/>
                <w:b/>
                <w:bCs/>
                <w:lang w:eastAsia="da-DK"/>
              </w:rPr>
            </w:pPr>
            <w:r w:rsidRPr="00001423">
              <w:rPr>
                <w:rFonts w:eastAsia="Times New Roman" w:cs="Arial"/>
                <w:b/>
                <w:bCs/>
                <w:lang w:eastAsia="da-DK"/>
              </w:rPr>
              <w:t> </w:t>
            </w:r>
          </w:p>
        </w:tc>
        <w:tc>
          <w:tcPr>
            <w:tcW w:w="1241" w:type="dxa"/>
            <w:tcBorders>
              <w:top w:val="single" w:sz="4" w:space="0" w:color="auto"/>
              <w:left w:val="nil"/>
              <w:right w:val="nil"/>
            </w:tcBorders>
            <w:shd w:val="clear" w:color="auto" w:fill="DBE5F1" w:themeFill="accent1" w:themeFillTint="33"/>
            <w:noWrap/>
            <w:vAlign w:val="center"/>
            <w:hideMark/>
          </w:tcPr>
          <w:p w14:paraId="6ED723A5" w14:textId="77777777" w:rsidR="00C15C75" w:rsidRPr="00001423" w:rsidRDefault="00C15C75" w:rsidP="00C15C75">
            <w:pPr>
              <w:spacing w:line="240" w:lineRule="auto"/>
              <w:jc w:val="both"/>
              <w:rPr>
                <w:rFonts w:eastAsia="Times New Roman" w:cs="Arial"/>
                <w:lang w:eastAsia="da-DK"/>
              </w:rPr>
            </w:pPr>
          </w:p>
        </w:tc>
        <w:tc>
          <w:tcPr>
            <w:tcW w:w="1241" w:type="dxa"/>
            <w:tcBorders>
              <w:top w:val="single" w:sz="4" w:space="0" w:color="auto"/>
              <w:left w:val="nil"/>
              <w:right w:val="nil"/>
            </w:tcBorders>
            <w:shd w:val="clear" w:color="auto" w:fill="DBE5F1" w:themeFill="accent1" w:themeFillTint="33"/>
            <w:vAlign w:val="center"/>
          </w:tcPr>
          <w:p w14:paraId="4E7F5CB0" w14:textId="77777777" w:rsidR="00C15C75" w:rsidRPr="00001423" w:rsidRDefault="00C15C75" w:rsidP="00C15C75">
            <w:pPr>
              <w:spacing w:line="240" w:lineRule="auto"/>
              <w:jc w:val="both"/>
              <w:rPr>
                <w:rFonts w:eastAsia="Times New Roman" w:cs="Arial"/>
                <w:lang w:eastAsia="da-DK"/>
              </w:rPr>
            </w:pPr>
          </w:p>
        </w:tc>
      </w:tr>
      <w:tr w:rsidR="00C15C75" w:rsidRPr="00001423" w14:paraId="44C9358A" w14:textId="77777777" w:rsidTr="0056420D">
        <w:trPr>
          <w:trHeight w:val="299"/>
        </w:trPr>
        <w:tc>
          <w:tcPr>
            <w:tcW w:w="5102" w:type="dxa"/>
            <w:tcBorders>
              <w:top w:val="nil"/>
              <w:left w:val="nil"/>
              <w:bottom w:val="single" w:sz="4" w:space="0" w:color="auto"/>
              <w:right w:val="nil"/>
            </w:tcBorders>
            <w:shd w:val="clear" w:color="auto" w:fill="DBE5F1" w:themeFill="accent1" w:themeFillTint="33"/>
            <w:noWrap/>
            <w:vAlign w:val="center"/>
            <w:hideMark/>
          </w:tcPr>
          <w:p w14:paraId="18F68785" w14:textId="77777777" w:rsidR="00C15C75" w:rsidRPr="00001423" w:rsidRDefault="00C15C75" w:rsidP="00C15C75">
            <w:pPr>
              <w:spacing w:line="240" w:lineRule="auto"/>
              <w:jc w:val="both"/>
              <w:rPr>
                <w:rFonts w:eastAsia="Times New Roman" w:cs="Arial"/>
                <w:lang w:eastAsia="da-DK"/>
              </w:rPr>
            </w:pPr>
            <w:r>
              <w:rPr>
                <w:rFonts w:eastAsia="Times New Roman" w:cs="Arial"/>
                <w:lang w:eastAsia="da-DK"/>
              </w:rPr>
              <w:t>Samlede udgifter til administration i magistratsafdeling</w:t>
            </w:r>
          </w:p>
        </w:tc>
        <w:tc>
          <w:tcPr>
            <w:tcW w:w="1241" w:type="dxa"/>
            <w:tcBorders>
              <w:top w:val="nil"/>
              <w:left w:val="nil"/>
              <w:bottom w:val="single" w:sz="4" w:space="0" w:color="auto"/>
              <w:right w:val="nil"/>
            </w:tcBorders>
            <w:shd w:val="clear" w:color="auto" w:fill="DBE5F1" w:themeFill="accent1" w:themeFillTint="33"/>
            <w:noWrap/>
            <w:vAlign w:val="center"/>
            <w:hideMark/>
          </w:tcPr>
          <w:p w14:paraId="44B9A5C0" w14:textId="77777777" w:rsidR="00C15C75" w:rsidRPr="00001423" w:rsidRDefault="00C15C75" w:rsidP="00C15C75">
            <w:pPr>
              <w:spacing w:before="60" w:after="60" w:line="240" w:lineRule="auto"/>
              <w:jc w:val="both"/>
              <w:rPr>
                <w:rFonts w:cs="Arial"/>
                <w:color w:val="000000"/>
              </w:rPr>
            </w:pPr>
            <w:r>
              <w:t>286.741</w:t>
            </w:r>
          </w:p>
        </w:tc>
        <w:tc>
          <w:tcPr>
            <w:tcW w:w="1241" w:type="dxa"/>
            <w:tcBorders>
              <w:top w:val="nil"/>
              <w:left w:val="nil"/>
              <w:bottom w:val="single" w:sz="4" w:space="0" w:color="auto"/>
              <w:right w:val="nil"/>
            </w:tcBorders>
            <w:shd w:val="clear" w:color="auto" w:fill="DBE5F1" w:themeFill="accent1" w:themeFillTint="33"/>
            <w:noWrap/>
            <w:vAlign w:val="center"/>
            <w:hideMark/>
          </w:tcPr>
          <w:p w14:paraId="21188594" w14:textId="77777777" w:rsidR="00C15C75" w:rsidRPr="00001423" w:rsidRDefault="00C15C75" w:rsidP="00C15C75">
            <w:pPr>
              <w:spacing w:before="60" w:after="60" w:line="240" w:lineRule="auto"/>
              <w:jc w:val="both"/>
              <w:rPr>
                <w:rFonts w:cs="Arial"/>
                <w:color w:val="000000"/>
              </w:rPr>
            </w:pPr>
            <w:r>
              <w:t>297.822</w:t>
            </w:r>
          </w:p>
        </w:tc>
      </w:tr>
      <w:tr w:rsidR="00C15C75" w:rsidRPr="00001423" w14:paraId="1635296D" w14:textId="77777777" w:rsidTr="0056420D">
        <w:trPr>
          <w:trHeight w:val="299"/>
        </w:trPr>
        <w:tc>
          <w:tcPr>
            <w:tcW w:w="5102" w:type="dxa"/>
            <w:tcBorders>
              <w:top w:val="single" w:sz="4" w:space="0" w:color="auto"/>
              <w:left w:val="nil"/>
              <w:bottom w:val="dashed" w:sz="4" w:space="0" w:color="auto"/>
              <w:right w:val="nil"/>
            </w:tcBorders>
            <w:shd w:val="clear" w:color="auto" w:fill="DBE5F1" w:themeFill="accent1" w:themeFillTint="33"/>
            <w:noWrap/>
            <w:vAlign w:val="center"/>
          </w:tcPr>
          <w:p w14:paraId="7617C081" w14:textId="77777777" w:rsidR="00C15C75" w:rsidRDefault="00C15C75" w:rsidP="00C15C75">
            <w:pPr>
              <w:spacing w:line="240" w:lineRule="auto"/>
              <w:jc w:val="both"/>
              <w:rPr>
                <w:rFonts w:eastAsia="Times New Roman" w:cs="Arial"/>
                <w:lang w:eastAsia="da-DK"/>
              </w:rPr>
            </w:pPr>
            <w:r>
              <w:rPr>
                <w:rFonts w:eastAsia="Times New Roman" w:cs="Arial"/>
                <w:lang w:eastAsia="da-DK"/>
              </w:rPr>
              <w:t>Administrative besparelser</w:t>
            </w:r>
          </w:p>
        </w:tc>
        <w:tc>
          <w:tcPr>
            <w:tcW w:w="1241" w:type="dxa"/>
            <w:tcBorders>
              <w:top w:val="single" w:sz="4" w:space="0" w:color="auto"/>
              <w:left w:val="nil"/>
              <w:bottom w:val="dashed" w:sz="4" w:space="0" w:color="auto"/>
              <w:right w:val="nil"/>
            </w:tcBorders>
            <w:shd w:val="clear" w:color="auto" w:fill="DBE5F1" w:themeFill="accent1" w:themeFillTint="33"/>
            <w:noWrap/>
            <w:vAlign w:val="center"/>
          </w:tcPr>
          <w:p w14:paraId="0840F8BF" w14:textId="77777777" w:rsidR="00C15C75" w:rsidRDefault="00C15C75" w:rsidP="00C15C75">
            <w:pPr>
              <w:spacing w:before="60" w:after="60" w:line="240" w:lineRule="auto"/>
              <w:jc w:val="both"/>
            </w:pPr>
            <w:r>
              <w:t>14.000</w:t>
            </w:r>
          </w:p>
        </w:tc>
        <w:tc>
          <w:tcPr>
            <w:tcW w:w="1241" w:type="dxa"/>
            <w:tcBorders>
              <w:top w:val="single" w:sz="4" w:space="0" w:color="auto"/>
              <w:left w:val="nil"/>
              <w:bottom w:val="dashed" w:sz="4" w:space="0" w:color="auto"/>
              <w:right w:val="nil"/>
            </w:tcBorders>
            <w:shd w:val="clear" w:color="auto" w:fill="DBE5F1" w:themeFill="accent1" w:themeFillTint="33"/>
            <w:noWrap/>
            <w:vAlign w:val="center"/>
          </w:tcPr>
          <w:p w14:paraId="3F936FCF" w14:textId="77777777" w:rsidR="00C15C75" w:rsidRDefault="00C15C75" w:rsidP="00C15C75">
            <w:pPr>
              <w:spacing w:before="60" w:after="60" w:line="240" w:lineRule="auto"/>
              <w:jc w:val="both"/>
            </w:pPr>
            <w:r>
              <w:t>4.900</w:t>
            </w:r>
          </w:p>
        </w:tc>
      </w:tr>
      <w:tr w:rsidR="00C15C75" w:rsidRPr="00001423" w14:paraId="64E36F6D" w14:textId="77777777" w:rsidTr="0056420D">
        <w:trPr>
          <w:trHeight w:val="299"/>
        </w:trPr>
        <w:tc>
          <w:tcPr>
            <w:tcW w:w="5102" w:type="dxa"/>
            <w:tcBorders>
              <w:top w:val="dashed" w:sz="4" w:space="0" w:color="auto"/>
              <w:left w:val="nil"/>
              <w:bottom w:val="nil"/>
              <w:right w:val="nil"/>
            </w:tcBorders>
            <w:shd w:val="clear" w:color="auto" w:fill="DBE5F1" w:themeFill="accent1" w:themeFillTint="33"/>
            <w:noWrap/>
            <w:vAlign w:val="center"/>
          </w:tcPr>
          <w:p w14:paraId="1082EA2E" w14:textId="77777777" w:rsidR="00C15C75" w:rsidRDefault="00C15C75" w:rsidP="00C15C75">
            <w:pPr>
              <w:spacing w:line="240" w:lineRule="auto"/>
              <w:jc w:val="both"/>
              <w:rPr>
                <w:rFonts w:eastAsia="Times New Roman" w:cs="Arial"/>
                <w:lang w:eastAsia="da-DK"/>
              </w:rPr>
            </w:pPr>
            <w:r>
              <w:rPr>
                <w:rFonts w:eastAsia="Times New Roman" w:cs="Arial"/>
                <w:lang w:eastAsia="da-DK"/>
              </w:rPr>
              <w:t>Samlede udgifter decentralt</w:t>
            </w:r>
          </w:p>
        </w:tc>
        <w:tc>
          <w:tcPr>
            <w:tcW w:w="1241" w:type="dxa"/>
            <w:tcBorders>
              <w:top w:val="dashed" w:sz="4" w:space="0" w:color="auto"/>
              <w:left w:val="nil"/>
              <w:bottom w:val="nil"/>
              <w:right w:val="nil"/>
            </w:tcBorders>
            <w:shd w:val="clear" w:color="auto" w:fill="DBE5F1" w:themeFill="accent1" w:themeFillTint="33"/>
            <w:noWrap/>
            <w:vAlign w:val="center"/>
          </w:tcPr>
          <w:p w14:paraId="095EA74E" w14:textId="77777777" w:rsidR="00C15C75" w:rsidRPr="000F3D38" w:rsidRDefault="00C15C75" w:rsidP="00C15C75">
            <w:pPr>
              <w:spacing w:before="60" w:after="60" w:line="240" w:lineRule="auto"/>
              <w:jc w:val="both"/>
            </w:pPr>
            <w:r w:rsidRPr="000F3D38">
              <w:t>4.920.288</w:t>
            </w:r>
          </w:p>
        </w:tc>
        <w:tc>
          <w:tcPr>
            <w:tcW w:w="1241" w:type="dxa"/>
            <w:tcBorders>
              <w:top w:val="dashed" w:sz="4" w:space="0" w:color="auto"/>
              <w:left w:val="nil"/>
              <w:bottom w:val="nil"/>
              <w:right w:val="nil"/>
            </w:tcBorders>
            <w:shd w:val="clear" w:color="auto" w:fill="DBE5F1" w:themeFill="accent1" w:themeFillTint="33"/>
            <w:noWrap/>
            <w:vAlign w:val="center"/>
          </w:tcPr>
          <w:p w14:paraId="0F44FE7B" w14:textId="77777777" w:rsidR="00C15C75" w:rsidRPr="000F3D38" w:rsidRDefault="00C15C75" w:rsidP="00C15C75">
            <w:pPr>
              <w:spacing w:before="60" w:after="60" w:line="240" w:lineRule="auto"/>
              <w:jc w:val="both"/>
            </w:pPr>
            <w:r w:rsidRPr="000F3D38">
              <w:t>5.158.193</w:t>
            </w:r>
          </w:p>
        </w:tc>
      </w:tr>
      <w:tr w:rsidR="00C15C75" w:rsidRPr="00001423" w14:paraId="717671F6" w14:textId="77777777" w:rsidTr="0056420D">
        <w:trPr>
          <w:trHeight w:val="299"/>
        </w:trPr>
        <w:tc>
          <w:tcPr>
            <w:tcW w:w="5102" w:type="dxa"/>
            <w:tcBorders>
              <w:top w:val="nil"/>
              <w:left w:val="nil"/>
              <w:right w:val="nil"/>
            </w:tcBorders>
            <w:shd w:val="clear" w:color="auto" w:fill="DBE5F1" w:themeFill="accent1" w:themeFillTint="33"/>
            <w:noWrap/>
            <w:vAlign w:val="center"/>
            <w:hideMark/>
          </w:tcPr>
          <w:p w14:paraId="04369207" w14:textId="77777777" w:rsidR="00C15C75" w:rsidRPr="000059C5" w:rsidRDefault="00C15C75" w:rsidP="00C15C75">
            <w:pPr>
              <w:spacing w:line="240" w:lineRule="auto"/>
              <w:jc w:val="both"/>
              <w:rPr>
                <w:rFonts w:eastAsia="Times New Roman" w:cs="Arial"/>
                <w:i/>
                <w:iCs/>
                <w:lang w:eastAsia="da-DK"/>
              </w:rPr>
            </w:pPr>
            <w:r w:rsidRPr="000059C5">
              <w:rPr>
                <w:rFonts w:eastAsia="Times New Roman" w:cs="Arial"/>
                <w:i/>
                <w:iCs/>
                <w:lang w:eastAsia="da-DK"/>
              </w:rPr>
              <w:t>- heraf</w:t>
            </w:r>
            <w:r>
              <w:rPr>
                <w:rFonts w:eastAsia="Times New Roman" w:cs="Arial"/>
                <w:i/>
                <w:iCs/>
                <w:lang w:eastAsia="da-DK"/>
              </w:rPr>
              <w:t xml:space="preserve"> administrative besparelser</w:t>
            </w:r>
            <w:r w:rsidRPr="000059C5">
              <w:rPr>
                <w:rFonts w:eastAsia="Times New Roman" w:cs="Arial"/>
                <w:i/>
                <w:iCs/>
                <w:lang w:eastAsia="da-DK"/>
              </w:rPr>
              <w:t xml:space="preserve"> decentralt</w:t>
            </w:r>
          </w:p>
        </w:tc>
        <w:tc>
          <w:tcPr>
            <w:tcW w:w="1241" w:type="dxa"/>
            <w:tcBorders>
              <w:top w:val="nil"/>
              <w:left w:val="nil"/>
              <w:right w:val="nil"/>
            </w:tcBorders>
            <w:shd w:val="clear" w:color="auto" w:fill="DBE5F1" w:themeFill="accent1" w:themeFillTint="33"/>
            <w:noWrap/>
            <w:vAlign w:val="center"/>
            <w:hideMark/>
          </w:tcPr>
          <w:p w14:paraId="3C8CB976" w14:textId="77777777" w:rsidR="00C15C75" w:rsidRPr="000059C5" w:rsidRDefault="00C15C75" w:rsidP="00C15C75">
            <w:pPr>
              <w:spacing w:before="60" w:after="60" w:line="240" w:lineRule="auto"/>
              <w:jc w:val="both"/>
              <w:rPr>
                <w:rFonts w:cs="Arial"/>
                <w:i/>
                <w:iCs/>
                <w:color w:val="000000"/>
              </w:rPr>
            </w:pPr>
            <w:r>
              <w:rPr>
                <w:rFonts w:cs="Arial"/>
                <w:i/>
                <w:iCs/>
                <w:color w:val="000000"/>
              </w:rPr>
              <w:t>2.300</w:t>
            </w:r>
          </w:p>
        </w:tc>
        <w:tc>
          <w:tcPr>
            <w:tcW w:w="1241" w:type="dxa"/>
            <w:tcBorders>
              <w:top w:val="nil"/>
              <w:left w:val="nil"/>
              <w:right w:val="nil"/>
            </w:tcBorders>
            <w:shd w:val="clear" w:color="auto" w:fill="DBE5F1" w:themeFill="accent1" w:themeFillTint="33"/>
            <w:noWrap/>
            <w:vAlign w:val="center"/>
            <w:hideMark/>
          </w:tcPr>
          <w:p w14:paraId="7DB3B011" w14:textId="77777777" w:rsidR="00C15C75" w:rsidRPr="000059C5" w:rsidRDefault="00C15C75" w:rsidP="00C15C75">
            <w:pPr>
              <w:spacing w:before="60" w:after="60" w:line="240" w:lineRule="auto"/>
              <w:jc w:val="both"/>
              <w:rPr>
                <w:rFonts w:cs="Arial"/>
                <w:i/>
                <w:iCs/>
                <w:color w:val="000000"/>
              </w:rPr>
            </w:pPr>
            <w:r>
              <w:rPr>
                <w:rFonts w:cs="Arial"/>
                <w:i/>
                <w:iCs/>
                <w:color w:val="000000"/>
              </w:rPr>
              <w:t>0</w:t>
            </w:r>
          </w:p>
        </w:tc>
      </w:tr>
      <w:tr w:rsidR="00C15C75" w:rsidRPr="00001423" w14:paraId="17AC5A7E" w14:textId="77777777" w:rsidTr="0056420D">
        <w:trPr>
          <w:trHeight w:val="299"/>
        </w:trPr>
        <w:tc>
          <w:tcPr>
            <w:tcW w:w="5102" w:type="dxa"/>
            <w:tcBorders>
              <w:top w:val="nil"/>
              <w:left w:val="nil"/>
              <w:right w:val="nil"/>
            </w:tcBorders>
            <w:shd w:val="clear" w:color="auto" w:fill="DBE5F1" w:themeFill="accent1" w:themeFillTint="33"/>
            <w:noWrap/>
            <w:vAlign w:val="center"/>
          </w:tcPr>
          <w:p w14:paraId="67FED8E2" w14:textId="77777777" w:rsidR="00C15C75" w:rsidRPr="000059C5" w:rsidRDefault="00C15C75" w:rsidP="00C15C75">
            <w:pPr>
              <w:spacing w:line="240" w:lineRule="auto"/>
              <w:jc w:val="both"/>
              <w:rPr>
                <w:rFonts w:eastAsia="Times New Roman" w:cs="Arial"/>
                <w:i/>
                <w:iCs/>
                <w:lang w:eastAsia="da-DK"/>
              </w:rPr>
            </w:pPr>
            <w:r>
              <w:rPr>
                <w:rFonts w:eastAsia="Times New Roman" w:cs="Arial"/>
                <w:lang w:eastAsia="da-DK"/>
              </w:rPr>
              <w:t>Samlede udgifter centralt</w:t>
            </w:r>
          </w:p>
        </w:tc>
        <w:tc>
          <w:tcPr>
            <w:tcW w:w="1241" w:type="dxa"/>
            <w:tcBorders>
              <w:top w:val="nil"/>
              <w:left w:val="nil"/>
              <w:right w:val="nil"/>
            </w:tcBorders>
            <w:shd w:val="clear" w:color="auto" w:fill="DBE5F1" w:themeFill="accent1" w:themeFillTint="33"/>
            <w:noWrap/>
            <w:vAlign w:val="center"/>
          </w:tcPr>
          <w:p w14:paraId="36D3534F" w14:textId="77777777" w:rsidR="00C15C75" w:rsidRPr="00276DA9" w:rsidRDefault="00C15C75" w:rsidP="00C15C75">
            <w:pPr>
              <w:spacing w:before="60" w:after="60" w:line="240" w:lineRule="auto"/>
              <w:jc w:val="both"/>
              <w:rPr>
                <w:highlight w:val="yellow"/>
              </w:rPr>
            </w:pPr>
            <w:r>
              <w:t>286.741</w:t>
            </w:r>
          </w:p>
        </w:tc>
        <w:tc>
          <w:tcPr>
            <w:tcW w:w="1241" w:type="dxa"/>
            <w:tcBorders>
              <w:top w:val="nil"/>
              <w:left w:val="nil"/>
              <w:right w:val="nil"/>
            </w:tcBorders>
            <w:shd w:val="clear" w:color="auto" w:fill="DBE5F1" w:themeFill="accent1" w:themeFillTint="33"/>
            <w:noWrap/>
            <w:vAlign w:val="center"/>
          </w:tcPr>
          <w:p w14:paraId="642FC52E" w14:textId="77777777" w:rsidR="00C15C75" w:rsidRPr="00276DA9" w:rsidRDefault="00C15C75" w:rsidP="00C15C75">
            <w:pPr>
              <w:spacing w:before="60" w:after="60" w:line="240" w:lineRule="auto"/>
              <w:jc w:val="both"/>
              <w:rPr>
                <w:highlight w:val="yellow"/>
              </w:rPr>
            </w:pPr>
            <w:r>
              <w:t>297.822</w:t>
            </w:r>
          </w:p>
        </w:tc>
      </w:tr>
      <w:tr w:rsidR="00C15C75" w:rsidRPr="00001423" w14:paraId="7FDDCFAE" w14:textId="77777777" w:rsidTr="0056420D">
        <w:trPr>
          <w:trHeight w:val="299"/>
        </w:trPr>
        <w:tc>
          <w:tcPr>
            <w:tcW w:w="5102" w:type="dxa"/>
            <w:tcBorders>
              <w:top w:val="nil"/>
              <w:left w:val="nil"/>
              <w:bottom w:val="single" w:sz="4" w:space="0" w:color="auto"/>
              <w:right w:val="nil"/>
            </w:tcBorders>
            <w:shd w:val="clear" w:color="auto" w:fill="DBE5F1" w:themeFill="accent1" w:themeFillTint="33"/>
            <w:noWrap/>
            <w:vAlign w:val="center"/>
            <w:hideMark/>
          </w:tcPr>
          <w:p w14:paraId="4A185303" w14:textId="77777777" w:rsidR="00C15C75" w:rsidRPr="000059C5" w:rsidRDefault="00C15C75" w:rsidP="00C15C75">
            <w:pPr>
              <w:spacing w:line="240" w:lineRule="auto"/>
              <w:jc w:val="both"/>
              <w:rPr>
                <w:rFonts w:eastAsia="Times New Roman" w:cs="Arial"/>
                <w:i/>
                <w:iCs/>
                <w:lang w:eastAsia="da-DK"/>
              </w:rPr>
            </w:pPr>
            <w:r w:rsidRPr="000059C5">
              <w:rPr>
                <w:rFonts w:eastAsia="Times New Roman" w:cs="Arial"/>
                <w:i/>
                <w:iCs/>
                <w:lang w:eastAsia="da-DK"/>
              </w:rPr>
              <w:t>- heraf</w:t>
            </w:r>
            <w:r>
              <w:rPr>
                <w:rFonts w:eastAsia="Times New Roman" w:cs="Arial"/>
                <w:i/>
                <w:iCs/>
                <w:lang w:eastAsia="da-DK"/>
              </w:rPr>
              <w:t xml:space="preserve"> administrative besparelser</w:t>
            </w:r>
            <w:r w:rsidRPr="000059C5">
              <w:rPr>
                <w:rFonts w:eastAsia="Times New Roman" w:cs="Arial"/>
                <w:i/>
                <w:iCs/>
                <w:lang w:eastAsia="da-DK"/>
              </w:rPr>
              <w:t xml:space="preserve"> centralt</w:t>
            </w:r>
          </w:p>
        </w:tc>
        <w:tc>
          <w:tcPr>
            <w:tcW w:w="1241" w:type="dxa"/>
            <w:tcBorders>
              <w:top w:val="nil"/>
              <w:left w:val="nil"/>
              <w:bottom w:val="single" w:sz="4" w:space="0" w:color="auto"/>
              <w:right w:val="nil"/>
            </w:tcBorders>
            <w:shd w:val="clear" w:color="auto" w:fill="DBE5F1" w:themeFill="accent1" w:themeFillTint="33"/>
            <w:noWrap/>
            <w:vAlign w:val="center"/>
            <w:hideMark/>
          </w:tcPr>
          <w:p w14:paraId="22357F9F" w14:textId="77777777" w:rsidR="00C15C75" w:rsidRPr="000059C5" w:rsidRDefault="00C15C75" w:rsidP="00C15C75">
            <w:pPr>
              <w:spacing w:before="60" w:after="60" w:line="240" w:lineRule="auto"/>
              <w:jc w:val="both"/>
              <w:rPr>
                <w:rFonts w:cs="Arial"/>
                <w:i/>
                <w:iCs/>
                <w:color w:val="000000"/>
              </w:rPr>
            </w:pPr>
            <w:r>
              <w:rPr>
                <w:rFonts w:cs="Arial"/>
                <w:i/>
                <w:iCs/>
                <w:color w:val="000000"/>
              </w:rPr>
              <w:t>11.700</w:t>
            </w:r>
          </w:p>
        </w:tc>
        <w:tc>
          <w:tcPr>
            <w:tcW w:w="1241" w:type="dxa"/>
            <w:tcBorders>
              <w:top w:val="nil"/>
              <w:left w:val="nil"/>
              <w:bottom w:val="single" w:sz="4" w:space="0" w:color="auto"/>
              <w:right w:val="nil"/>
            </w:tcBorders>
            <w:shd w:val="clear" w:color="auto" w:fill="DBE5F1" w:themeFill="accent1" w:themeFillTint="33"/>
            <w:noWrap/>
            <w:vAlign w:val="center"/>
            <w:hideMark/>
          </w:tcPr>
          <w:p w14:paraId="796DAEF4" w14:textId="77777777" w:rsidR="00C15C75" w:rsidRPr="000059C5" w:rsidRDefault="00C15C75" w:rsidP="00C15C75">
            <w:pPr>
              <w:spacing w:before="60" w:after="60" w:line="240" w:lineRule="auto"/>
              <w:jc w:val="both"/>
              <w:rPr>
                <w:rFonts w:cs="Arial"/>
                <w:i/>
                <w:iCs/>
                <w:color w:val="000000"/>
              </w:rPr>
            </w:pPr>
            <w:r>
              <w:rPr>
                <w:rFonts w:cs="Arial"/>
                <w:i/>
                <w:iCs/>
                <w:color w:val="000000"/>
              </w:rPr>
              <w:t>4.900</w:t>
            </w:r>
          </w:p>
        </w:tc>
      </w:tr>
    </w:tbl>
    <w:p w14:paraId="7B754EF4" w14:textId="77777777" w:rsidR="00C15C75" w:rsidRDefault="00C15C75" w:rsidP="00C15C75">
      <w:pPr>
        <w:spacing w:line="340" w:lineRule="atLeast"/>
        <w:jc w:val="both"/>
        <w:rPr>
          <w:rFonts w:ascii="Verdana" w:eastAsia="Calibri" w:hAnsi="Verdana"/>
          <w:sz w:val="22"/>
          <w:szCs w:val="22"/>
          <w:lang w:val="nb-NO"/>
        </w:rPr>
      </w:pPr>
    </w:p>
    <w:p w14:paraId="244B47FC" w14:textId="77777777" w:rsidR="00C15C75" w:rsidRDefault="00C15C75" w:rsidP="00C15C75">
      <w:pPr>
        <w:jc w:val="both"/>
      </w:pPr>
    </w:p>
    <w:p w14:paraId="09B1A265" w14:textId="77777777" w:rsidR="00C15C75" w:rsidRDefault="00C15C75" w:rsidP="00C15C75">
      <w:pPr>
        <w:jc w:val="both"/>
      </w:pPr>
    </w:p>
    <w:p w14:paraId="780C29DF" w14:textId="77777777" w:rsidR="00C15C75" w:rsidRDefault="00C15C75" w:rsidP="00C15C75">
      <w:pPr>
        <w:jc w:val="both"/>
      </w:pPr>
    </w:p>
    <w:p w14:paraId="3193E081" w14:textId="77777777" w:rsidR="00C15C75" w:rsidRDefault="00C15C75" w:rsidP="00C15C75">
      <w:pPr>
        <w:jc w:val="both"/>
      </w:pPr>
    </w:p>
    <w:p w14:paraId="75164D58" w14:textId="77777777" w:rsidR="00C15C75" w:rsidRDefault="00C15C75" w:rsidP="00C15C75">
      <w:pPr>
        <w:jc w:val="both"/>
      </w:pPr>
    </w:p>
    <w:p w14:paraId="302EE201" w14:textId="77777777" w:rsidR="00C15C75" w:rsidRDefault="00C15C75" w:rsidP="00C15C75">
      <w:pPr>
        <w:jc w:val="both"/>
      </w:pPr>
    </w:p>
    <w:p w14:paraId="6AD9212F" w14:textId="77777777" w:rsidR="00C15C75" w:rsidRDefault="00C15C75" w:rsidP="00C15C75">
      <w:pPr>
        <w:jc w:val="both"/>
      </w:pPr>
    </w:p>
    <w:p w14:paraId="38BA417E" w14:textId="77777777" w:rsidR="00C15C75" w:rsidRDefault="00C15C75" w:rsidP="00C15C75">
      <w:pPr>
        <w:jc w:val="both"/>
      </w:pPr>
    </w:p>
    <w:p w14:paraId="36D82E82" w14:textId="77777777" w:rsidR="00C15C75" w:rsidRDefault="00C15C75" w:rsidP="00C15C75">
      <w:pPr>
        <w:jc w:val="both"/>
      </w:pPr>
    </w:p>
    <w:p w14:paraId="3F0CF21D" w14:textId="77777777" w:rsidR="00C15C75" w:rsidRDefault="00C15C75" w:rsidP="00CF44E0"/>
    <w:p w14:paraId="1C04BBC4" w14:textId="77777777" w:rsidR="00C15C75" w:rsidRDefault="00C15C75" w:rsidP="00CF44E0"/>
    <w:p w14:paraId="3AF840D9" w14:textId="77777777" w:rsidR="00C15C75" w:rsidRDefault="00C15C75" w:rsidP="00CF44E0"/>
    <w:p w14:paraId="0B83755E" w14:textId="77777777" w:rsidR="00C15C75" w:rsidRDefault="00C15C75" w:rsidP="00CF44E0"/>
    <w:p w14:paraId="4E7C02BF" w14:textId="77777777" w:rsidR="00C15C75" w:rsidRDefault="00C15C75" w:rsidP="00CF44E0"/>
    <w:p w14:paraId="4E32EFE0" w14:textId="77777777" w:rsidR="00C15C75" w:rsidRDefault="00C15C75" w:rsidP="00CF44E0"/>
    <w:p w14:paraId="332A344A" w14:textId="77777777" w:rsidR="00C15C75" w:rsidRDefault="00C15C75" w:rsidP="00CF44E0"/>
    <w:p w14:paraId="1CD43EFE" w14:textId="77777777" w:rsidR="00C15C75" w:rsidRDefault="00C15C75" w:rsidP="00CF44E0"/>
    <w:p w14:paraId="1BB21F87" w14:textId="77777777" w:rsidR="00C15C75" w:rsidRDefault="00C15C75" w:rsidP="00CF44E0"/>
    <w:p w14:paraId="3D6A277C" w14:textId="77777777" w:rsidR="00C15C75" w:rsidRDefault="00C15C75" w:rsidP="00CF44E0"/>
    <w:p w14:paraId="4F1FF600" w14:textId="77777777" w:rsidR="00C15C75" w:rsidRDefault="00C15C75" w:rsidP="00CF44E0"/>
    <w:p w14:paraId="19D54401" w14:textId="77777777" w:rsidR="00C15C75" w:rsidRDefault="00C15C75" w:rsidP="00CF44E0"/>
    <w:p w14:paraId="50AE2C04" w14:textId="77777777" w:rsidR="00C15C75" w:rsidRDefault="00C15C75" w:rsidP="00CF44E0"/>
    <w:p w14:paraId="39743DBC" w14:textId="77777777" w:rsidR="00936F0C" w:rsidRDefault="00936F0C">
      <w:pPr>
        <w:spacing w:line="300" w:lineRule="atLeast"/>
        <w:rPr>
          <w:rFonts w:eastAsiaTheme="majorEastAsia" w:cstheme="majorBidi"/>
          <w:b/>
          <w:bCs/>
          <w:sz w:val="22"/>
          <w:szCs w:val="28"/>
        </w:rPr>
      </w:pPr>
      <w:r>
        <w:br w:type="page"/>
      </w:r>
    </w:p>
    <w:p w14:paraId="216EC255" w14:textId="3B54A615" w:rsidR="00C15C75" w:rsidRDefault="00C15C75" w:rsidP="001D1818">
      <w:pPr>
        <w:pStyle w:val="Overskrift1"/>
        <w:jc w:val="both"/>
      </w:pPr>
      <w:r>
        <w:lastRenderedPageBreak/>
        <w:t>Bilag 2. Sociale Forhold og Beskæftigelse</w:t>
      </w:r>
    </w:p>
    <w:p w14:paraId="437163C8" w14:textId="77777777" w:rsidR="001D1818" w:rsidRDefault="001D1818" w:rsidP="001D1818">
      <w:r>
        <w:t>I nedenstående tabel fremgår MSB’s udmøntning af administrative besparelser i budget 2024 og 2025 fordelt mellem centrale og decentrale enheder.</w:t>
      </w:r>
    </w:p>
    <w:p w14:paraId="700DD149" w14:textId="77777777" w:rsidR="001D1818" w:rsidRDefault="001D1818" w:rsidP="001D1818"/>
    <w:p w14:paraId="5D22D15B" w14:textId="77777777" w:rsidR="001D1818" w:rsidRDefault="001D1818" w:rsidP="001D1818">
      <w:r>
        <w:t xml:space="preserve">Besparelserne er her sat i relation til MSB’s samlede decentrale og centrale udgifter på administrative kontogrupper, jf. den officielle kontoplansdefinition fra Indenrigsministeriet. Særligt for Sociale Forhold og Beskæftigelse er, at størstedelen af de administrative udgifter er decentrale og </w:t>
      </w:r>
      <w:r w:rsidRPr="00256397">
        <w:t xml:space="preserve">udgøres </w:t>
      </w:r>
      <w:r>
        <w:t xml:space="preserve">af </w:t>
      </w:r>
      <w:r w:rsidRPr="00256397">
        <w:t>administration og kontrol af ydelsesudbetalinger, jobcenteradministration og administration og styring af bla</w:t>
      </w:r>
      <w:r>
        <w:t>ndt andet</w:t>
      </w:r>
      <w:r w:rsidRPr="00256397">
        <w:t xml:space="preserve"> de</w:t>
      </w:r>
      <w:r>
        <w:t xml:space="preserve"> tre</w:t>
      </w:r>
      <w:r w:rsidRPr="00256397">
        <w:t xml:space="preserve"> myndighedsområder på socialområdet</w:t>
      </w:r>
      <w:r>
        <w:t>.</w:t>
      </w:r>
      <w:r w:rsidRPr="00256397">
        <w:t xml:space="preserve"> </w:t>
      </w:r>
    </w:p>
    <w:p w14:paraId="1BC6895F" w14:textId="77777777" w:rsidR="001D1818" w:rsidRDefault="001D1818" w:rsidP="001D1818"/>
    <w:p w14:paraId="5D8E9241" w14:textId="4B3A7105" w:rsidR="001D1818" w:rsidRDefault="001D1818" w:rsidP="001D1818">
      <w:r>
        <w:t>B</w:t>
      </w:r>
      <w:r w:rsidRPr="00256397">
        <w:t>esparelser</w:t>
      </w:r>
      <w:r>
        <w:t>ne</w:t>
      </w:r>
      <w:r w:rsidRPr="00256397">
        <w:t xml:space="preserve"> er udmøntet ved lokale prioriteringer</w:t>
      </w:r>
      <w:r>
        <w:t xml:space="preserve">, som blev samlet til et katalog, der blev rådmandstiltrådt. </w:t>
      </w:r>
      <w:r w:rsidRPr="00256397">
        <w:t>Besparelserne</w:t>
      </w:r>
      <w:r>
        <w:t xml:space="preserve"> på de decentrale områder</w:t>
      </w:r>
      <w:r w:rsidRPr="00256397">
        <w:t xml:space="preserve"> er håndteret på en måde</w:t>
      </w:r>
      <w:r>
        <w:t>,</w:t>
      </w:r>
      <w:r w:rsidRPr="00256397">
        <w:t xml:space="preserve"> så de ikke berører direkte borgerrelaterede opgaver</w:t>
      </w:r>
      <w:r>
        <w:t>,</w:t>
      </w:r>
      <w:r w:rsidRPr="00256397">
        <w:t xml:space="preserve"> jf. rådmandsbeslutning.</w:t>
      </w:r>
      <w:r w:rsidR="00571C2B">
        <w:t xml:space="preserve"> </w:t>
      </w:r>
      <w:r>
        <w:t>D</w:t>
      </w:r>
      <w:r w:rsidRPr="00256397">
        <w:t>e centrale konti</w:t>
      </w:r>
      <w:r>
        <w:t xml:space="preserve"> udgør ca. 30% af de samlede administrative udgifter. D</w:t>
      </w:r>
      <w:r w:rsidRPr="00256397">
        <w:t>er</w:t>
      </w:r>
      <w:r>
        <w:t xml:space="preserve"> er</w:t>
      </w:r>
      <w:r w:rsidRPr="00256397">
        <w:t xml:space="preserve"> en række poster</w:t>
      </w:r>
      <w:r>
        <w:t>,</w:t>
      </w:r>
      <w:r w:rsidRPr="00256397">
        <w:t xml:space="preserve"> der er vanskelige at påvirke</w:t>
      </w:r>
      <w:r>
        <w:t>,</w:t>
      </w:r>
      <w:r w:rsidRPr="00256397">
        <w:t xml:space="preserve"> herunder fastsatte priser på IT</w:t>
      </w:r>
      <w:r>
        <w:t>-</w:t>
      </w:r>
      <w:r w:rsidRPr="00256397">
        <w:t xml:space="preserve">systemer, udgifter til barsel for hele MSB mv. </w:t>
      </w:r>
    </w:p>
    <w:p w14:paraId="418DA473" w14:textId="77777777" w:rsidR="001D1818" w:rsidRDefault="001D1818" w:rsidP="001D1818"/>
    <w:p w14:paraId="71EAABA3" w14:textId="77777777" w:rsidR="001D1818" w:rsidRDefault="001D1818" w:rsidP="001D1818">
      <w:r w:rsidRPr="00256397">
        <w:t>D</w:t>
      </w:r>
      <w:r>
        <w:t>e</w:t>
      </w:r>
      <w:r w:rsidRPr="00256397">
        <w:t xml:space="preserve"> centrale besparelser er udmøntet på stabe og centrale puljer bl</w:t>
      </w:r>
      <w:r>
        <w:t>.</w:t>
      </w:r>
      <w:r w:rsidRPr="00256397">
        <w:t>a. jf. direktørgruppeinitiativer omkring effektivisering på it</w:t>
      </w:r>
      <w:r>
        <w:t>-</w:t>
      </w:r>
      <w:r w:rsidRPr="00256397">
        <w:t>licenser, og begrænsning af dokumentation, tilsyn og rapportering. Herudover begrænsning af puljer til udvikling og analyser.</w:t>
      </w:r>
    </w:p>
    <w:p w14:paraId="52C78094" w14:textId="77777777" w:rsidR="001D1818" w:rsidRDefault="001D1818" w:rsidP="001D1818"/>
    <w:p w14:paraId="35A46308" w14:textId="093D1F53" w:rsidR="001D1818" w:rsidRDefault="001D1818" w:rsidP="001D1818">
      <w:r>
        <w:t>Jf. tabel 1 ses det, at der i B24 er sparet forholdsmæssigt lige store andele mellem centrale og decentrale funktioner. Vægtningen i B2025 er forskudt mod væsentlig flere centrale besparelser, så sparekravet i 2025 på det centrale område relativt set er ca. dobbelt så stort som decentralt. Håndteringen fremover ventes at følge mønstret fra udmøntningerne de første 2 år.</w:t>
      </w:r>
    </w:p>
    <w:p w14:paraId="7E77F428" w14:textId="77777777" w:rsidR="001D1818" w:rsidRDefault="001D1818" w:rsidP="001D1818"/>
    <w:tbl>
      <w:tblPr>
        <w:tblW w:w="6985" w:type="dxa"/>
        <w:tblCellMar>
          <w:left w:w="70" w:type="dxa"/>
          <w:right w:w="70" w:type="dxa"/>
        </w:tblCellMar>
        <w:tblLook w:val="04A0" w:firstRow="1" w:lastRow="0" w:firstColumn="1" w:lastColumn="0" w:noHBand="0" w:noVBand="1"/>
      </w:tblPr>
      <w:tblGrid>
        <w:gridCol w:w="4962"/>
        <w:gridCol w:w="863"/>
        <w:gridCol w:w="1574"/>
      </w:tblGrid>
      <w:tr w:rsidR="001D1818" w:rsidRPr="00675EB7" w14:paraId="6DE41BE5" w14:textId="77777777" w:rsidTr="0056420D">
        <w:trPr>
          <w:trHeight w:val="324"/>
        </w:trPr>
        <w:tc>
          <w:tcPr>
            <w:tcW w:w="5411" w:type="dxa"/>
            <w:gridSpan w:val="2"/>
            <w:tcBorders>
              <w:top w:val="nil"/>
              <w:left w:val="nil"/>
              <w:bottom w:val="nil"/>
              <w:right w:val="nil"/>
            </w:tcBorders>
            <w:shd w:val="clear" w:color="auto" w:fill="auto"/>
            <w:noWrap/>
            <w:vAlign w:val="center"/>
            <w:hideMark/>
          </w:tcPr>
          <w:p w14:paraId="5ADEA2F5" w14:textId="209D3662" w:rsidR="001D1818" w:rsidRPr="00675EB7" w:rsidRDefault="001D1818" w:rsidP="0056420D">
            <w:pPr>
              <w:spacing w:line="240" w:lineRule="auto"/>
              <w:rPr>
                <w:rFonts w:ascii="Verdana" w:eastAsia="Times New Roman" w:hAnsi="Verdana"/>
                <w:color w:val="000000"/>
                <w:sz w:val="22"/>
                <w:lang w:eastAsia="da-DK"/>
              </w:rPr>
            </w:pPr>
            <w:r w:rsidRPr="00675EB7">
              <w:rPr>
                <w:rFonts w:ascii="Verdana" w:eastAsia="Times New Roman" w:hAnsi="Verdana"/>
                <w:color w:val="000000"/>
                <w:sz w:val="22"/>
                <w:lang w:eastAsia="da-DK"/>
              </w:rPr>
              <w:t xml:space="preserve">Tabel 1: Udmøntning af administrative besparelser – </w:t>
            </w:r>
            <w:r w:rsidR="00365765">
              <w:rPr>
                <w:rFonts w:ascii="Verdana" w:eastAsia="Times New Roman" w:hAnsi="Verdana"/>
                <w:color w:val="000000"/>
                <w:sz w:val="22"/>
                <w:lang w:eastAsia="da-DK"/>
              </w:rPr>
              <w:t>Sociale Forhold og Beskæftigelse</w:t>
            </w:r>
          </w:p>
        </w:tc>
        <w:tc>
          <w:tcPr>
            <w:tcW w:w="1574" w:type="dxa"/>
            <w:tcBorders>
              <w:top w:val="nil"/>
              <w:left w:val="nil"/>
              <w:bottom w:val="nil"/>
              <w:right w:val="nil"/>
            </w:tcBorders>
            <w:shd w:val="clear" w:color="auto" w:fill="auto"/>
            <w:noWrap/>
            <w:vAlign w:val="bottom"/>
            <w:hideMark/>
          </w:tcPr>
          <w:p w14:paraId="2A1E77BB" w14:textId="77777777" w:rsidR="001D1818" w:rsidRPr="00675EB7" w:rsidRDefault="001D1818" w:rsidP="0056420D">
            <w:pPr>
              <w:spacing w:line="240" w:lineRule="auto"/>
              <w:rPr>
                <w:rFonts w:ascii="Verdana" w:eastAsia="Times New Roman" w:hAnsi="Verdana"/>
                <w:color w:val="000000"/>
                <w:sz w:val="22"/>
                <w:lang w:eastAsia="da-DK"/>
              </w:rPr>
            </w:pPr>
          </w:p>
        </w:tc>
      </w:tr>
      <w:tr w:rsidR="001D1818" w:rsidRPr="00675EB7" w14:paraId="3BC6DCC6" w14:textId="77777777" w:rsidTr="0056420D">
        <w:trPr>
          <w:trHeight w:val="324"/>
        </w:trPr>
        <w:tc>
          <w:tcPr>
            <w:tcW w:w="4962" w:type="dxa"/>
            <w:tcBorders>
              <w:top w:val="single" w:sz="8" w:space="0" w:color="auto"/>
              <w:left w:val="nil"/>
              <w:bottom w:val="single" w:sz="8" w:space="0" w:color="auto"/>
              <w:right w:val="nil"/>
            </w:tcBorders>
            <w:shd w:val="clear" w:color="000000" w:fill="DBE5F1"/>
            <w:noWrap/>
            <w:vAlign w:val="center"/>
            <w:hideMark/>
          </w:tcPr>
          <w:p w14:paraId="630F0DA9" w14:textId="77777777" w:rsidR="001D1818" w:rsidRPr="00675EB7" w:rsidRDefault="001D1818" w:rsidP="0056420D">
            <w:pPr>
              <w:spacing w:line="240" w:lineRule="auto"/>
              <w:rPr>
                <w:rFonts w:eastAsia="Times New Roman" w:cs="Arial"/>
                <w:color w:val="000000"/>
                <w:lang w:eastAsia="da-DK"/>
              </w:rPr>
            </w:pPr>
            <w:r w:rsidRPr="00675EB7">
              <w:rPr>
                <w:rFonts w:eastAsia="Times New Roman" w:cs="Arial"/>
                <w:color w:val="000000"/>
                <w:lang w:eastAsia="da-DK"/>
              </w:rPr>
              <w:t>1.000 kr. (2025</w:t>
            </w:r>
            <w:r>
              <w:rPr>
                <w:rFonts w:eastAsia="Times New Roman" w:cs="Arial"/>
                <w:color w:val="000000"/>
                <w:lang w:eastAsia="da-DK"/>
              </w:rPr>
              <w:t xml:space="preserve"> pl</w:t>
            </w:r>
            <w:r w:rsidRPr="00675EB7">
              <w:rPr>
                <w:rFonts w:eastAsia="Times New Roman" w:cs="Arial"/>
                <w:color w:val="000000"/>
                <w:lang w:eastAsia="da-DK"/>
              </w:rPr>
              <w:t>)</w:t>
            </w:r>
          </w:p>
        </w:tc>
        <w:tc>
          <w:tcPr>
            <w:tcW w:w="449" w:type="dxa"/>
            <w:tcBorders>
              <w:top w:val="single" w:sz="8" w:space="0" w:color="auto"/>
              <w:left w:val="nil"/>
              <w:bottom w:val="single" w:sz="8" w:space="0" w:color="auto"/>
              <w:right w:val="nil"/>
            </w:tcBorders>
            <w:shd w:val="clear" w:color="000000" w:fill="DBE5F1"/>
            <w:noWrap/>
            <w:vAlign w:val="center"/>
            <w:hideMark/>
          </w:tcPr>
          <w:p w14:paraId="538BF4C5" w14:textId="77777777" w:rsidR="001D1818" w:rsidRPr="00675EB7" w:rsidRDefault="001D1818" w:rsidP="0056420D">
            <w:pPr>
              <w:spacing w:line="240" w:lineRule="auto"/>
              <w:jc w:val="right"/>
              <w:rPr>
                <w:rFonts w:eastAsia="Times New Roman" w:cs="Arial"/>
                <w:b/>
                <w:bCs/>
                <w:color w:val="000000"/>
                <w:lang w:eastAsia="da-DK"/>
              </w:rPr>
            </w:pPr>
            <w:r w:rsidRPr="00675EB7">
              <w:rPr>
                <w:rFonts w:eastAsia="Times New Roman" w:cs="Arial"/>
                <w:b/>
                <w:bCs/>
                <w:color w:val="000000"/>
                <w:lang w:eastAsia="da-DK"/>
              </w:rPr>
              <w:t>2024</w:t>
            </w:r>
          </w:p>
        </w:tc>
        <w:tc>
          <w:tcPr>
            <w:tcW w:w="1574" w:type="dxa"/>
            <w:tcBorders>
              <w:top w:val="single" w:sz="8" w:space="0" w:color="auto"/>
              <w:left w:val="nil"/>
              <w:bottom w:val="single" w:sz="8" w:space="0" w:color="auto"/>
              <w:right w:val="nil"/>
            </w:tcBorders>
            <w:shd w:val="clear" w:color="000000" w:fill="DBE5F1"/>
            <w:noWrap/>
            <w:vAlign w:val="center"/>
            <w:hideMark/>
          </w:tcPr>
          <w:p w14:paraId="3B3A0461" w14:textId="77777777" w:rsidR="001D1818" w:rsidRPr="00675EB7" w:rsidRDefault="001D1818" w:rsidP="0056420D">
            <w:pPr>
              <w:spacing w:line="240" w:lineRule="auto"/>
              <w:jc w:val="right"/>
              <w:rPr>
                <w:rFonts w:eastAsia="Times New Roman" w:cs="Arial"/>
                <w:b/>
                <w:bCs/>
                <w:color w:val="000000"/>
                <w:lang w:eastAsia="da-DK"/>
              </w:rPr>
            </w:pPr>
            <w:r w:rsidRPr="00675EB7">
              <w:rPr>
                <w:rFonts w:eastAsia="Times New Roman" w:cs="Arial"/>
                <w:b/>
                <w:bCs/>
                <w:color w:val="000000"/>
                <w:lang w:eastAsia="da-DK"/>
              </w:rPr>
              <w:t>2025</w:t>
            </w:r>
          </w:p>
        </w:tc>
      </w:tr>
      <w:tr w:rsidR="001D1818" w:rsidRPr="00675EB7" w14:paraId="3272E212" w14:textId="77777777" w:rsidTr="0056420D">
        <w:trPr>
          <w:trHeight w:val="309"/>
        </w:trPr>
        <w:tc>
          <w:tcPr>
            <w:tcW w:w="4962" w:type="dxa"/>
            <w:tcBorders>
              <w:top w:val="nil"/>
              <w:left w:val="nil"/>
              <w:bottom w:val="nil"/>
              <w:right w:val="nil"/>
            </w:tcBorders>
            <w:shd w:val="clear" w:color="000000" w:fill="DBE5F1"/>
            <w:noWrap/>
            <w:vAlign w:val="center"/>
            <w:hideMark/>
          </w:tcPr>
          <w:p w14:paraId="5710621C" w14:textId="77777777" w:rsidR="001D1818" w:rsidRPr="00675EB7" w:rsidRDefault="001D1818" w:rsidP="0056420D">
            <w:pPr>
              <w:spacing w:line="240" w:lineRule="auto"/>
              <w:rPr>
                <w:rFonts w:eastAsia="Times New Roman" w:cs="Arial"/>
                <w:b/>
                <w:bCs/>
                <w:color w:val="000000"/>
                <w:lang w:eastAsia="da-DK"/>
              </w:rPr>
            </w:pPr>
            <w:r w:rsidRPr="00675EB7">
              <w:rPr>
                <w:rFonts w:eastAsia="Times New Roman" w:cs="Arial"/>
                <w:b/>
                <w:bCs/>
                <w:color w:val="000000"/>
                <w:lang w:eastAsia="da-DK"/>
              </w:rPr>
              <w:t> </w:t>
            </w:r>
          </w:p>
        </w:tc>
        <w:tc>
          <w:tcPr>
            <w:tcW w:w="449" w:type="dxa"/>
            <w:tcBorders>
              <w:top w:val="nil"/>
              <w:left w:val="nil"/>
              <w:bottom w:val="nil"/>
              <w:right w:val="nil"/>
            </w:tcBorders>
            <w:shd w:val="clear" w:color="000000" w:fill="DBE5F1"/>
            <w:noWrap/>
            <w:vAlign w:val="center"/>
            <w:hideMark/>
          </w:tcPr>
          <w:p w14:paraId="2A909F45" w14:textId="77777777" w:rsidR="001D1818" w:rsidRPr="00675EB7" w:rsidRDefault="001D1818" w:rsidP="0056420D">
            <w:pPr>
              <w:spacing w:line="240" w:lineRule="auto"/>
              <w:rPr>
                <w:rFonts w:eastAsia="Times New Roman" w:cs="Arial"/>
                <w:color w:val="000000"/>
                <w:lang w:eastAsia="da-DK"/>
              </w:rPr>
            </w:pPr>
            <w:r w:rsidRPr="00675EB7">
              <w:rPr>
                <w:rFonts w:eastAsia="Times New Roman" w:cs="Arial"/>
                <w:color w:val="000000"/>
                <w:lang w:eastAsia="da-DK"/>
              </w:rPr>
              <w:t> </w:t>
            </w:r>
          </w:p>
        </w:tc>
        <w:tc>
          <w:tcPr>
            <w:tcW w:w="1574" w:type="dxa"/>
            <w:tcBorders>
              <w:top w:val="nil"/>
              <w:left w:val="nil"/>
              <w:bottom w:val="nil"/>
              <w:right w:val="nil"/>
            </w:tcBorders>
            <w:shd w:val="clear" w:color="000000" w:fill="DBE5F1"/>
            <w:vAlign w:val="center"/>
            <w:hideMark/>
          </w:tcPr>
          <w:p w14:paraId="093ADE68" w14:textId="77777777" w:rsidR="001D1818" w:rsidRPr="00675EB7" w:rsidRDefault="001D1818" w:rsidP="0056420D">
            <w:pPr>
              <w:spacing w:line="240" w:lineRule="auto"/>
              <w:jc w:val="right"/>
              <w:rPr>
                <w:rFonts w:eastAsia="Times New Roman" w:cs="Arial"/>
                <w:color w:val="000000"/>
                <w:lang w:eastAsia="da-DK"/>
              </w:rPr>
            </w:pPr>
            <w:r w:rsidRPr="00675EB7">
              <w:rPr>
                <w:rFonts w:eastAsia="Times New Roman" w:cs="Arial"/>
                <w:color w:val="000000"/>
                <w:lang w:eastAsia="da-DK"/>
              </w:rPr>
              <w:t> </w:t>
            </w:r>
          </w:p>
        </w:tc>
      </w:tr>
      <w:tr w:rsidR="001D1818" w:rsidRPr="00675EB7" w14:paraId="391C0082" w14:textId="77777777" w:rsidTr="0056420D">
        <w:trPr>
          <w:trHeight w:val="324"/>
        </w:trPr>
        <w:tc>
          <w:tcPr>
            <w:tcW w:w="4962" w:type="dxa"/>
            <w:tcBorders>
              <w:top w:val="nil"/>
              <w:left w:val="nil"/>
              <w:bottom w:val="single" w:sz="8" w:space="0" w:color="auto"/>
              <w:right w:val="nil"/>
            </w:tcBorders>
            <w:shd w:val="clear" w:color="000000" w:fill="DBE5F1"/>
            <w:noWrap/>
            <w:vAlign w:val="center"/>
            <w:hideMark/>
          </w:tcPr>
          <w:p w14:paraId="7C579F68" w14:textId="77777777" w:rsidR="001D1818" w:rsidRPr="007A1B6D" w:rsidRDefault="001D1818" w:rsidP="0056420D">
            <w:pPr>
              <w:spacing w:line="240" w:lineRule="auto"/>
              <w:rPr>
                <w:rFonts w:eastAsia="Times New Roman" w:cs="Arial"/>
                <w:color w:val="000000"/>
                <w:lang w:eastAsia="da-DK"/>
              </w:rPr>
            </w:pPr>
            <w:r w:rsidRPr="007A1B6D">
              <w:rPr>
                <w:rFonts w:eastAsia="Times New Roman" w:cs="Arial"/>
                <w:color w:val="000000"/>
                <w:lang w:eastAsia="da-DK"/>
              </w:rPr>
              <w:t>Samlede udgifter til administration (konto 6) i MSB</w:t>
            </w:r>
          </w:p>
        </w:tc>
        <w:tc>
          <w:tcPr>
            <w:tcW w:w="449" w:type="dxa"/>
            <w:tcBorders>
              <w:top w:val="nil"/>
              <w:left w:val="nil"/>
              <w:bottom w:val="single" w:sz="8" w:space="0" w:color="auto"/>
              <w:right w:val="nil"/>
            </w:tcBorders>
            <w:shd w:val="clear" w:color="000000" w:fill="DBE5F1"/>
            <w:noWrap/>
            <w:vAlign w:val="center"/>
            <w:hideMark/>
          </w:tcPr>
          <w:p w14:paraId="488B54F0" w14:textId="77777777" w:rsidR="001D1818" w:rsidRPr="00675EB7" w:rsidRDefault="001D1818" w:rsidP="0056420D">
            <w:pPr>
              <w:spacing w:line="240" w:lineRule="auto"/>
              <w:jc w:val="right"/>
              <w:rPr>
                <w:rFonts w:eastAsia="Times New Roman" w:cs="Arial"/>
                <w:color w:val="000000"/>
                <w:lang w:eastAsia="da-DK"/>
              </w:rPr>
            </w:pPr>
            <w:r w:rsidRPr="00675EB7">
              <w:rPr>
                <w:rFonts w:eastAsia="Times New Roman" w:cs="Arial"/>
                <w:color w:val="000000"/>
                <w:lang w:eastAsia="da-DK"/>
              </w:rPr>
              <w:t>970.034</w:t>
            </w:r>
          </w:p>
        </w:tc>
        <w:tc>
          <w:tcPr>
            <w:tcW w:w="1574" w:type="dxa"/>
            <w:tcBorders>
              <w:top w:val="nil"/>
              <w:left w:val="nil"/>
              <w:bottom w:val="single" w:sz="8" w:space="0" w:color="auto"/>
              <w:right w:val="nil"/>
            </w:tcBorders>
            <w:shd w:val="clear" w:color="000000" w:fill="DBE5F1"/>
            <w:noWrap/>
            <w:vAlign w:val="center"/>
            <w:hideMark/>
          </w:tcPr>
          <w:p w14:paraId="24465447" w14:textId="77777777" w:rsidR="001D1818" w:rsidRPr="00675EB7" w:rsidRDefault="001D1818" w:rsidP="0056420D">
            <w:pPr>
              <w:spacing w:line="240" w:lineRule="auto"/>
              <w:jc w:val="right"/>
              <w:rPr>
                <w:rFonts w:eastAsia="Times New Roman" w:cs="Arial"/>
                <w:color w:val="000000"/>
                <w:lang w:eastAsia="da-DK"/>
              </w:rPr>
            </w:pPr>
            <w:r>
              <w:rPr>
                <w:rFonts w:eastAsia="Times New Roman" w:cs="Arial"/>
                <w:color w:val="000000"/>
                <w:lang w:eastAsia="da-DK"/>
              </w:rPr>
              <w:t>-</w:t>
            </w:r>
            <w:r w:rsidRPr="00675EB7">
              <w:rPr>
                <w:rFonts w:eastAsia="Times New Roman" w:cs="Arial"/>
                <w:color w:val="000000"/>
                <w:lang w:eastAsia="da-DK"/>
              </w:rPr>
              <w:t> </w:t>
            </w:r>
          </w:p>
        </w:tc>
      </w:tr>
      <w:tr w:rsidR="001D1818" w:rsidRPr="00675EB7" w14:paraId="56AD4A6C" w14:textId="77777777" w:rsidTr="0056420D">
        <w:trPr>
          <w:trHeight w:val="324"/>
        </w:trPr>
        <w:tc>
          <w:tcPr>
            <w:tcW w:w="4962" w:type="dxa"/>
            <w:tcBorders>
              <w:top w:val="nil"/>
              <w:left w:val="nil"/>
              <w:bottom w:val="dashed" w:sz="8" w:space="0" w:color="auto"/>
              <w:right w:val="nil"/>
            </w:tcBorders>
            <w:shd w:val="clear" w:color="000000" w:fill="DBE5F1"/>
            <w:noWrap/>
            <w:vAlign w:val="center"/>
            <w:hideMark/>
          </w:tcPr>
          <w:p w14:paraId="024C5778" w14:textId="77777777" w:rsidR="001D1818" w:rsidRPr="00675EB7" w:rsidRDefault="001D1818" w:rsidP="0056420D">
            <w:pPr>
              <w:spacing w:line="240" w:lineRule="auto"/>
              <w:rPr>
                <w:rFonts w:eastAsia="Times New Roman" w:cs="Arial"/>
                <w:color w:val="000000"/>
                <w:lang w:eastAsia="da-DK"/>
              </w:rPr>
            </w:pPr>
            <w:r w:rsidRPr="00675EB7">
              <w:rPr>
                <w:rFonts w:eastAsia="Times New Roman" w:cs="Arial"/>
                <w:color w:val="000000"/>
                <w:lang w:eastAsia="da-DK"/>
              </w:rPr>
              <w:t>Administrative besparelser</w:t>
            </w:r>
          </w:p>
        </w:tc>
        <w:tc>
          <w:tcPr>
            <w:tcW w:w="449" w:type="dxa"/>
            <w:tcBorders>
              <w:top w:val="nil"/>
              <w:left w:val="nil"/>
              <w:bottom w:val="dashed" w:sz="8" w:space="0" w:color="auto"/>
              <w:right w:val="nil"/>
            </w:tcBorders>
            <w:shd w:val="clear" w:color="000000" w:fill="DBE5F1"/>
            <w:noWrap/>
            <w:vAlign w:val="center"/>
            <w:hideMark/>
          </w:tcPr>
          <w:p w14:paraId="45C43AB6" w14:textId="77777777" w:rsidR="001D1818" w:rsidRPr="00675EB7" w:rsidRDefault="001D1818" w:rsidP="0056420D">
            <w:pPr>
              <w:spacing w:line="240" w:lineRule="auto"/>
              <w:jc w:val="right"/>
              <w:rPr>
                <w:rFonts w:eastAsia="Times New Roman" w:cs="Arial"/>
                <w:color w:val="000000"/>
                <w:lang w:eastAsia="da-DK"/>
              </w:rPr>
            </w:pPr>
            <w:r w:rsidRPr="00675EB7">
              <w:rPr>
                <w:rFonts w:eastAsia="Times New Roman" w:cs="Arial"/>
                <w:color w:val="000000"/>
                <w:lang w:eastAsia="da-DK"/>
              </w:rPr>
              <w:t>-14.197</w:t>
            </w:r>
          </w:p>
        </w:tc>
        <w:tc>
          <w:tcPr>
            <w:tcW w:w="1574" w:type="dxa"/>
            <w:tcBorders>
              <w:top w:val="nil"/>
              <w:left w:val="nil"/>
              <w:bottom w:val="dashed" w:sz="8" w:space="0" w:color="auto"/>
              <w:right w:val="nil"/>
            </w:tcBorders>
            <w:shd w:val="clear" w:color="000000" w:fill="DBE5F1"/>
            <w:noWrap/>
            <w:vAlign w:val="center"/>
            <w:hideMark/>
          </w:tcPr>
          <w:p w14:paraId="140D20BA" w14:textId="77777777" w:rsidR="001D1818" w:rsidRPr="00675EB7" w:rsidRDefault="001D1818" w:rsidP="0056420D">
            <w:pPr>
              <w:spacing w:line="240" w:lineRule="auto"/>
              <w:jc w:val="right"/>
              <w:rPr>
                <w:rFonts w:eastAsia="Times New Roman" w:cs="Arial"/>
                <w:color w:val="000000"/>
                <w:lang w:eastAsia="da-DK"/>
              </w:rPr>
            </w:pPr>
            <w:r w:rsidRPr="00675EB7">
              <w:rPr>
                <w:rFonts w:eastAsia="Times New Roman" w:cs="Arial"/>
                <w:color w:val="000000"/>
                <w:lang w:eastAsia="da-DK"/>
              </w:rPr>
              <w:t>-20.685</w:t>
            </w:r>
          </w:p>
        </w:tc>
      </w:tr>
      <w:tr w:rsidR="001D1818" w:rsidRPr="00675EB7" w14:paraId="2ECB4A9F" w14:textId="77777777" w:rsidTr="0056420D">
        <w:trPr>
          <w:trHeight w:val="309"/>
        </w:trPr>
        <w:tc>
          <w:tcPr>
            <w:tcW w:w="4962" w:type="dxa"/>
            <w:tcBorders>
              <w:top w:val="nil"/>
              <w:left w:val="nil"/>
              <w:bottom w:val="nil"/>
              <w:right w:val="nil"/>
            </w:tcBorders>
            <w:shd w:val="clear" w:color="000000" w:fill="DBE5F1"/>
            <w:noWrap/>
            <w:vAlign w:val="center"/>
            <w:hideMark/>
          </w:tcPr>
          <w:p w14:paraId="510CFCAE" w14:textId="77777777" w:rsidR="001D1818" w:rsidRPr="00675EB7" w:rsidRDefault="001D1818" w:rsidP="0056420D">
            <w:pPr>
              <w:spacing w:line="240" w:lineRule="auto"/>
              <w:rPr>
                <w:rFonts w:eastAsia="Times New Roman" w:cs="Arial"/>
                <w:color w:val="000000"/>
                <w:lang w:eastAsia="da-DK"/>
              </w:rPr>
            </w:pPr>
            <w:r w:rsidRPr="00675EB7">
              <w:rPr>
                <w:rFonts w:eastAsia="Times New Roman" w:cs="Arial"/>
                <w:color w:val="000000"/>
                <w:lang w:eastAsia="da-DK"/>
              </w:rPr>
              <w:t>Samlede udgifter decentralt</w:t>
            </w:r>
          </w:p>
        </w:tc>
        <w:tc>
          <w:tcPr>
            <w:tcW w:w="449" w:type="dxa"/>
            <w:tcBorders>
              <w:top w:val="nil"/>
              <w:left w:val="nil"/>
              <w:bottom w:val="nil"/>
              <w:right w:val="nil"/>
            </w:tcBorders>
            <w:shd w:val="clear" w:color="000000" w:fill="DBE5F1"/>
            <w:noWrap/>
            <w:vAlign w:val="center"/>
            <w:hideMark/>
          </w:tcPr>
          <w:p w14:paraId="7A468B2E" w14:textId="77777777" w:rsidR="001D1818" w:rsidRPr="00675EB7" w:rsidRDefault="001D1818" w:rsidP="0056420D">
            <w:pPr>
              <w:spacing w:line="240" w:lineRule="auto"/>
              <w:jc w:val="right"/>
              <w:rPr>
                <w:rFonts w:eastAsia="Times New Roman" w:cs="Arial"/>
                <w:color w:val="000000"/>
                <w:lang w:eastAsia="da-DK"/>
              </w:rPr>
            </w:pPr>
            <w:r w:rsidRPr="00675EB7">
              <w:rPr>
                <w:rFonts w:eastAsia="Times New Roman" w:cs="Arial"/>
                <w:color w:val="000000"/>
                <w:lang w:eastAsia="da-DK"/>
              </w:rPr>
              <w:t>675.431</w:t>
            </w:r>
          </w:p>
        </w:tc>
        <w:tc>
          <w:tcPr>
            <w:tcW w:w="1574" w:type="dxa"/>
            <w:tcBorders>
              <w:top w:val="nil"/>
              <w:left w:val="nil"/>
              <w:bottom w:val="nil"/>
              <w:right w:val="nil"/>
            </w:tcBorders>
            <w:shd w:val="clear" w:color="000000" w:fill="DBE5F1"/>
            <w:noWrap/>
            <w:vAlign w:val="center"/>
            <w:hideMark/>
          </w:tcPr>
          <w:p w14:paraId="7F565A18" w14:textId="77777777" w:rsidR="001D1818" w:rsidRPr="00675EB7" w:rsidRDefault="001D1818" w:rsidP="0056420D">
            <w:pPr>
              <w:spacing w:line="240" w:lineRule="auto"/>
              <w:jc w:val="right"/>
              <w:rPr>
                <w:rFonts w:eastAsia="Times New Roman" w:cs="Arial"/>
                <w:color w:val="000000"/>
                <w:lang w:eastAsia="da-DK"/>
              </w:rPr>
            </w:pPr>
            <w:r>
              <w:rPr>
                <w:rFonts w:eastAsia="Times New Roman" w:cs="Arial"/>
                <w:color w:val="000000"/>
                <w:lang w:eastAsia="da-DK"/>
              </w:rPr>
              <w:t>-</w:t>
            </w:r>
            <w:r w:rsidRPr="00675EB7">
              <w:rPr>
                <w:rFonts w:eastAsia="Times New Roman" w:cs="Arial"/>
                <w:color w:val="000000"/>
                <w:lang w:eastAsia="da-DK"/>
              </w:rPr>
              <w:t> </w:t>
            </w:r>
          </w:p>
        </w:tc>
      </w:tr>
      <w:tr w:rsidR="001D1818" w:rsidRPr="00675EB7" w14:paraId="7BBA602B" w14:textId="77777777" w:rsidTr="0056420D">
        <w:trPr>
          <w:trHeight w:val="309"/>
        </w:trPr>
        <w:tc>
          <w:tcPr>
            <w:tcW w:w="4962" w:type="dxa"/>
            <w:tcBorders>
              <w:top w:val="nil"/>
              <w:left w:val="nil"/>
              <w:bottom w:val="nil"/>
              <w:right w:val="nil"/>
            </w:tcBorders>
            <w:shd w:val="clear" w:color="000000" w:fill="DBE5F1"/>
            <w:noWrap/>
            <w:vAlign w:val="center"/>
            <w:hideMark/>
          </w:tcPr>
          <w:p w14:paraId="47FA9200" w14:textId="77777777" w:rsidR="001D1818" w:rsidRPr="00675EB7" w:rsidRDefault="001D1818" w:rsidP="0056420D">
            <w:pPr>
              <w:spacing w:line="240" w:lineRule="auto"/>
              <w:rPr>
                <w:rFonts w:eastAsia="Times New Roman" w:cs="Arial"/>
                <w:i/>
                <w:iCs/>
                <w:color w:val="000000"/>
                <w:lang w:eastAsia="da-DK"/>
              </w:rPr>
            </w:pPr>
            <w:r w:rsidRPr="00675EB7">
              <w:rPr>
                <w:rFonts w:eastAsia="Times New Roman" w:cs="Arial"/>
                <w:i/>
                <w:iCs/>
                <w:color w:val="000000"/>
                <w:lang w:eastAsia="da-DK"/>
              </w:rPr>
              <w:t>- heraf administrative besparelser decentralt</w:t>
            </w:r>
          </w:p>
        </w:tc>
        <w:tc>
          <w:tcPr>
            <w:tcW w:w="449" w:type="dxa"/>
            <w:tcBorders>
              <w:top w:val="nil"/>
              <w:left w:val="nil"/>
              <w:bottom w:val="nil"/>
              <w:right w:val="nil"/>
            </w:tcBorders>
            <w:shd w:val="clear" w:color="000000" w:fill="DBE5F1"/>
            <w:noWrap/>
            <w:vAlign w:val="center"/>
            <w:hideMark/>
          </w:tcPr>
          <w:p w14:paraId="72BFD47A" w14:textId="77777777" w:rsidR="001D1818" w:rsidRPr="00675EB7" w:rsidRDefault="001D1818" w:rsidP="0056420D">
            <w:pPr>
              <w:spacing w:line="240" w:lineRule="auto"/>
              <w:jc w:val="right"/>
              <w:rPr>
                <w:rFonts w:eastAsia="Times New Roman" w:cs="Arial"/>
                <w:i/>
                <w:iCs/>
                <w:color w:val="000000"/>
                <w:lang w:eastAsia="da-DK"/>
              </w:rPr>
            </w:pPr>
            <w:r w:rsidRPr="00675EB7">
              <w:rPr>
                <w:rFonts w:eastAsia="Times New Roman" w:cs="Arial"/>
                <w:i/>
                <w:iCs/>
                <w:color w:val="000000"/>
                <w:lang w:eastAsia="da-DK"/>
              </w:rPr>
              <w:t>-9.828</w:t>
            </w:r>
          </w:p>
        </w:tc>
        <w:tc>
          <w:tcPr>
            <w:tcW w:w="1574" w:type="dxa"/>
            <w:tcBorders>
              <w:top w:val="nil"/>
              <w:left w:val="nil"/>
              <w:bottom w:val="nil"/>
              <w:right w:val="nil"/>
            </w:tcBorders>
            <w:shd w:val="clear" w:color="000000" w:fill="DBE5F1"/>
            <w:noWrap/>
            <w:vAlign w:val="center"/>
            <w:hideMark/>
          </w:tcPr>
          <w:p w14:paraId="44473B4A" w14:textId="77777777" w:rsidR="001D1818" w:rsidRPr="00675EB7" w:rsidRDefault="001D1818" w:rsidP="0056420D">
            <w:pPr>
              <w:spacing w:line="240" w:lineRule="auto"/>
              <w:jc w:val="right"/>
              <w:rPr>
                <w:rFonts w:eastAsia="Times New Roman" w:cs="Arial"/>
                <w:i/>
                <w:iCs/>
                <w:color w:val="000000"/>
                <w:lang w:eastAsia="da-DK"/>
              </w:rPr>
            </w:pPr>
            <w:r w:rsidRPr="00675EB7">
              <w:rPr>
                <w:rFonts w:eastAsia="Times New Roman" w:cs="Arial"/>
                <w:i/>
                <w:iCs/>
                <w:color w:val="000000"/>
                <w:lang w:eastAsia="da-DK"/>
              </w:rPr>
              <w:t>-10.641</w:t>
            </w:r>
          </w:p>
        </w:tc>
      </w:tr>
      <w:tr w:rsidR="001D1818" w:rsidRPr="00675EB7" w14:paraId="7364EFF2" w14:textId="77777777" w:rsidTr="0056420D">
        <w:trPr>
          <w:trHeight w:val="309"/>
        </w:trPr>
        <w:tc>
          <w:tcPr>
            <w:tcW w:w="4962" w:type="dxa"/>
            <w:tcBorders>
              <w:top w:val="nil"/>
              <w:left w:val="nil"/>
              <w:bottom w:val="nil"/>
              <w:right w:val="nil"/>
            </w:tcBorders>
            <w:shd w:val="clear" w:color="000000" w:fill="DBE5F1"/>
            <w:noWrap/>
            <w:vAlign w:val="center"/>
            <w:hideMark/>
          </w:tcPr>
          <w:p w14:paraId="38084D1B" w14:textId="77777777" w:rsidR="001D1818" w:rsidRPr="00675EB7" w:rsidRDefault="001D1818" w:rsidP="0056420D">
            <w:pPr>
              <w:spacing w:line="240" w:lineRule="auto"/>
              <w:rPr>
                <w:rFonts w:eastAsia="Times New Roman" w:cs="Arial"/>
                <w:color w:val="000000"/>
                <w:lang w:eastAsia="da-DK"/>
              </w:rPr>
            </w:pPr>
            <w:r w:rsidRPr="00675EB7">
              <w:rPr>
                <w:rFonts w:eastAsia="Times New Roman" w:cs="Arial"/>
                <w:color w:val="000000"/>
                <w:lang w:eastAsia="da-DK"/>
              </w:rPr>
              <w:t>Samlede udgifter centralt</w:t>
            </w:r>
          </w:p>
        </w:tc>
        <w:tc>
          <w:tcPr>
            <w:tcW w:w="449" w:type="dxa"/>
            <w:tcBorders>
              <w:top w:val="nil"/>
              <w:left w:val="nil"/>
              <w:bottom w:val="nil"/>
              <w:right w:val="nil"/>
            </w:tcBorders>
            <w:shd w:val="clear" w:color="000000" w:fill="DBE5F1"/>
            <w:noWrap/>
            <w:vAlign w:val="center"/>
            <w:hideMark/>
          </w:tcPr>
          <w:p w14:paraId="3182C579" w14:textId="77777777" w:rsidR="001D1818" w:rsidRPr="00675EB7" w:rsidRDefault="001D1818" w:rsidP="0056420D">
            <w:pPr>
              <w:spacing w:line="240" w:lineRule="auto"/>
              <w:jc w:val="right"/>
              <w:rPr>
                <w:rFonts w:eastAsia="Times New Roman" w:cs="Arial"/>
                <w:color w:val="000000"/>
                <w:lang w:eastAsia="da-DK"/>
              </w:rPr>
            </w:pPr>
            <w:r w:rsidRPr="00675EB7">
              <w:rPr>
                <w:rFonts w:eastAsia="Times New Roman" w:cs="Arial"/>
                <w:color w:val="000000"/>
                <w:lang w:eastAsia="da-DK"/>
              </w:rPr>
              <w:t>294.603</w:t>
            </w:r>
          </w:p>
        </w:tc>
        <w:tc>
          <w:tcPr>
            <w:tcW w:w="1574" w:type="dxa"/>
            <w:tcBorders>
              <w:top w:val="nil"/>
              <w:left w:val="nil"/>
              <w:bottom w:val="nil"/>
              <w:right w:val="nil"/>
            </w:tcBorders>
            <w:shd w:val="clear" w:color="000000" w:fill="DBE5F1"/>
            <w:noWrap/>
            <w:vAlign w:val="center"/>
            <w:hideMark/>
          </w:tcPr>
          <w:p w14:paraId="00DE836F" w14:textId="77777777" w:rsidR="001D1818" w:rsidRPr="00675EB7" w:rsidRDefault="001D1818" w:rsidP="0056420D">
            <w:pPr>
              <w:spacing w:line="240" w:lineRule="auto"/>
              <w:jc w:val="right"/>
              <w:rPr>
                <w:rFonts w:eastAsia="Times New Roman" w:cs="Arial"/>
                <w:color w:val="000000"/>
                <w:lang w:eastAsia="da-DK"/>
              </w:rPr>
            </w:pPr>
            <w:r>
              <w:rPr>
                <w:rFonts w:eastAsia="Times New Roman" w:cs="Arial"/>
                <w:color w:val="000000"/>
                <w:lang w:eastAsia="da-DK"/>
              </w:rPr>
              <w:t>-</w:t>
            </w:r>
            <w:r w:rsidRPr="00675EB7">
              <w:rPr>
                <w:rFonts w:eastAsia="Times New Roman" w:cs="Arial"/>
                <w:color w:val="000000"/>
                <w:lang w:eastAsia="da-DK"/>
              </w:rPr>
              <w:t> </w:t>
            </w:r>
          </w:p>
        </w:tc>
      </w:tr>
      <w:tr w:rsidR="001D1818" w:rsidRPr="00675EB7" w14:paraId="15DF3CBA" w14:textId="77777777" w:rsidTr="0056420D">
        <w:trPr>
          <w:trHeight w:val="324"/>
        </w:trPr>
        <w:tc>
          <w:tcPr>
            <w:tcW w:w="4962" w:type="dxa"/>
            <w:tcBorders>
              <w:top w:val="nil"/>
              <w:left w:val="nil"/>
              <w:bottom w:val="single" w:sz="8" w:space="0" w:color="auto"/>
              <w:right w:val="nil"/>
            </w:tcBorders>
            <w:shd w:val="clear" w:color="000000" w:fill="DBE5F1"/>
            <w:noWrap/>
            <w:vAlign w:val="center"/>
            <w:hideMark/>
          </w:tcPr>
          <w:p w14:paraId="025600B8" w14:textId="77777777" w:rsidR="001D1818" w:rsidRPr="00675EB7" w:rsidRDefault="001D1818" w:rsidP="0056420D">
            <w:pPr>
              <w:spacing w:line="240" w:lineRule="auto"/>
              <w:rPr>
                <w:rFonts w:eastAsia="Times New Roman" w:cs="Arial"/>
                <w:i/>
                <w:iCs/>
                <w:color w:val="000000"/>
                <w:lang w:eastAsia="da-DK"/>
              </w:rPr>
            </w:pPr>
            <w:r w:rsidRPr="00675EB7">
              <w:rPr>
                <w:rFonts w:eastAsia="Times New Roman" w:cs="Arial"/>
                <w:i/>
                <w:iCs/>
                <w:color w:val="000000"/>
                <w:lang w:eastAsia="da-DK"/>
              </w:rPr>
              <w:t>- heraf administrative besparelser centralt</w:t>
            </w:r>
          </w:p>
        </w:tc>
        <w:tc>
          <w:tcPr>
            <w:tcW w:w="449" w:type="dxa"/>
            <w:tcBorders>
              <w:top w:val="nil"/>
              <w:left w:val="nil"/>
              <w:bottom w:val="single" w:sz="8" w:space="0" w:color="auto"/>
              <w:right w:val="nil"/>
            </w:tcBorders>
            <w:shd w:val="clear" w:color="000000" w:fill="DBE5F1"/>
            <w:noWrap/>
            <w:vAlign w:val="center"/>
            <w:hideMark/>
          </w:tcPr>
          <w:p w14:paraId="38663DC7" w14:textId="77777777" w:rsidR="001D1818" w:rsidRPr="00675EB7" w:rsidRDefault="001D1818" w:rsidP="0056420D">
            <w:pPr>
              <w:spacing w:line="240" w:lineRule="auto"/>
              <w:jc w:val="right"/>
              <w:rPr>
                <w:rFonts w:eastAsia="Times New Roman" w:cs="Arial"/>
                <w:i/>
                <w:iCs/>
                <w:color w:val="000000"/>
                <w:lang w:eastAsia="da-DK"/>
              </w:rPr>
            </w:pPr>
            <w:r w:rsidRPr="00675EB7">
              <w:rPr>
                <w:rFonts w:eastAsia="Times New Roman" w:cs="Arial"/>
                <w:i/>
                <w:iCs/>
                <w:color w:val="000000"/>
                <w:lang w:eastAsia="da-DK"/>
              </w:rPr>
              <w:t>-4.369</w:t>
            </w:r>
          </w:p>
        </w:tc>
        <w:tc>
          <w:tcPr>
            <w:tcW w:w="1574" w:type="dxa"/>
            <w:tcBorders>
              <w:top w:val="nil"/>
              <w:left w:val="nil"/>
              <w:bottom w:val="single" w:sz="8" w:space="0" w:color="auto"/>
              <w:right w:val="nil"/>
            </w:tcBorders>
            <w:shd w:val="clear" w:color="000000" w:fill="DBE5F1"/>
            <w:noWrap/>
            <w:vAlign w:val="center"/>
            <w:hideMark/>
          </w:tcPr>
          <w:p w14:paraId="455CD835" w14:textId="77777777" w:rsidR="001D1818" w:rsidRPr="00675EB7" w:rsidRDefault="001D1818" w:rsidP="0056420D">
            <w:pPr>
              <w:spacing w:line="240" w:lineRule="auto"/>
              <w:jc w:val="right"/>
              <w:rPr>
                <w:rFonts w:eastAsia="Times New Roman" w:cs="Arial"/>
                <w:i/>
                <w:iCs/>
                <w:color w:val="000000"/>
                <w:lang w:eastAsia="da-DK"/>
              </w:rPr>
            </w:pPr>
            <w:r w:rsidRPr="00675EB7">
              <w:rPr>
                <w:rFonts w:eastAsia="Times New Roman" w:cs="Arial"/>
                <w:i/>
                <w:iCs/>
                <w:color w:val="000000"/>
                <w:lang w:eastAsia="da-DK"/>
              </w:rPr>
              <w:t>-10.044</w:t>
            </w:r>
          </w:p>
        </w:tc>
      </w:tr>
    </w:tbl>
    <w:p w14:paraId="30296C62" w14:textId="77777777" w:rsidR="001D1818" w:rsidRPr="00CC1BCD" w:rsidRDefault="001D1818" w:rsidP="001D1818">
      <w:pPr>
        <w:rPr>
          <w:sz w:val="16"/>
          <w:szCs w:val="16"/>
        </w:rPr>
      </w:pPr>
      <w:r w:rsidRPr="00CC1BCD">
        <w:rPr>
          <w:sz w:val="16"/>
          <w:szCs w:val="16"/>
        </w:rPr>
        <w:t xml:space="preserve">Anm: </w:t>
      </w:r>
      <w:r w:rsidRPr="007A1B6D">
        <w:rPr>
          <w:sz w:val="16"/>
          <w:szCs w:val="16"/>
        </w:rPr>
        <w:t xml:space="preserve">De administrative udgifter er afgrænset til </w:t>
      </w:r>
      <w:r w:rsidRPr="00CC1BCD">
        <w:rPr>
          <w:sz w:val="16"/>
          <w:szCs w:val="16"/>
        </w:rPr>
        <w:t>den officielle kontoplansdefinition fra Indenrigsministeriet</w:t>
      </w:r>
      <w:r>
        <w:rPr>
          <w:sz w:val="16"/>
          <w:szCs w:val="16"/>
        </w:rPr>
        <w:t xml:space="preserve">. </w:t>
      </w:r>
      <w:r w:rsidRPr="00CC1BCD">
        <w:rPr>
          <w:sz w:val="16"/>
          <w:szCs w:val="16"/>
        </w:rPr>
        <w:t xml:space="preserve">Der er ikke anført et tal </w:t>
      </w:r>
      <w:r w:rsidRPr="007A1B6D">
        <w:rPr>
          <w:sz w:val="16"/>
          <w:szCs w:val="16"/>
        </w:rPr>
        <w:t>for</w:t>
      </w:r>
      <w:r w:rsidRPr="00CC1BCD">
        <w:rPr>
          <w:sz w:val="16"/>
          <w:szCs w:val="16"/>
        </w:rPr>
        <w:t xml:space="preserve"> 2025</w:t>
      </w:r>
      <w:r w:rsidRPr="007A1B6D">
        <w:rPr>
          <w:sz w:val="16"/>
          <w:szCs w:val="16"/>
        </w:rPr>
        <w:t>, da d</w:t>
      </w:r>
      <w:r w:rsidRPr="00CC1BCD">
        <w:rPr>
          <w:sz w:val="16"/>
          <w:szCs w:val="16"/>
        </w:rPr>
        <w:t xml:space="preserve">ette tal </w:t>
      </w:r>
      <w:r w:rsidRPr="007A1B6D">
        <w:rPr>
          <w:sz w:val="16"/>
          <w:szCs w:val="16"/>
        </w:rPr>
        <w:t xml:space="preserve">først kan </w:t>
      </w:r>
      <w:r w:rsidRPr="00CC1BCD">
        <w:rPr>
          <w:sz w:val="16"/>
          <w:szCs w:val="16"/>
        </w:rPr>
        <w:t>opgøres i forbindelse med regnskabet for 2025.</w:t>
      </w:r>
    </w:p>
    <w:p w14:paraId="243E04B8" w14:textId="77777777" w:rsidR="00C15C75" w:rsidRDefault="00C15C75" w:rsidP="00C15C75"/>
    <w:p w14:paraId="3197B5DA" w14:textId="77777777" w:rsidR="00C15C75" w:rsidRDefault="00C15C75" w:rsidP="00C15C75"/>
    <w:p w14:paraId="31220495" w14:textId="4DB9E638" w:rsidR="00C15C75" w:rsidRDefault="00C15C75" w:rsidP="001D1818">
      <w:pPr>
        <w:pStyle w:val="Overskrift1"/>
        <w:jc w:val="both"/>
      </w:pPr>
      <w:r>
        <w:lastRenderedPageBreak/>
        <w:t>Bilag 3. Sundhed og Omsorg</w:t>
      </w:r>
    </w:p>
    <w:p w14:paraId="7026BD06" w14:textId="77777777" w:rsidR="001D1818" w:rsidRDefault="001D1818" w:rsidP="001D1818">
      <w:pPr>
        <w:jc w:val="both"/>
      </w:pPr>
      <w:r>
        <w:t>SF har spurgt om udmøntning af administrative besparelser vedr. 2024 og 2025.</w:t>
      </w:r>
    </w:p>
    <w:p w14:paraId="192E9082" w14:textId="77777777" w:rsidR="001D1818" w:rsidRDefault="001D1818" w:rsidP="001D1818"/>
    <w:p w14:paraId="2A6A927C" w14:textId="77777777" w:rsidR="001D1818" w:rsidRDefault="001D1818" w:rsidP="001D1818">
      <w:pPr>
        <w:pStyle w:val="TabeloverskriftII"/>
        <w:ind w:left="0"/>
      </w:pPr>
      <w:r>
        <w:t>Tabel 1: Udmøntning af administrative besparelser i budgetter– Sundhed og Omsorg</w:t>
      </w:r>
    </w:p>
    <w:tbl>
      <w:tblPr>
        <w:tblW w:w="7230" w:type="dxa"/>
        <w:shd w:val="clear" w:color="auto" w:fill="DBE5F1" w:themeFill="accent1" w:themeFillTint="33"/>
        <w:tblCellMar>
          <w:left w:w="70" w:type="dxa"/>
          <w:right w:w="70" w:type="dxa"/>
        </w:tblCellMar>
        <w:tblLook w:val="04A0" w:firstRow="1" w:lastRow="0" w:firstColumn="1" w:lastColumn="0" w:noHBand="0" w:noVBand="1"/>
      </w:tblPr>
      <w:tblGrid>
        <w:gridCol w:w="5102"/>
        <w:gridCol w:w="1030"/>
        <w:gridCol w:w="1127"/>
      </w:tblGrid>
      <w:tr w:rsidR="001D1818" w:rsidRPr="00001423" w14:paraId="009E4512" w14:textId="77777777" w:rsidTr="0056420D">
        <w:trPr>
          <w:trHeight w:val="299"/>
        </w:trPr>
        <w:tc>
          <w:tcPr>
            <w:tcW w:w="5102" w:type="dxa"/>
            <w:tcBorders>
              <w:top w:val="single" w:sz="4" w:space="0" w:color="auto"/>
              <w:left w:val="nil"/>
              <w:bottom w:val="single" w:sz="4" w:space="0" w:color="auto"/>
              <w:right w:val="nil"/>
            </w:tcBorders>
            <w:shd w:val="clear" w:color="auto" w:fill="DBE5F1" w:themeFill="accent1" w:themeFillTint="33"/>
            <w:noWrap/>
            <w:vAlign w:val="bottom"/>
            <w:hideMark/>
          </w:tcPr>
          <w:p w14:paraId="55826EEB" w14:textId="77777777" w:rsidR="001D1818" w:rsidRPr="00001423" w:rsidRDefault="001D1818" w:rsidP="0056420D">
            <w:pPr>
              <w:spacing w:line="240" w:lineRule="auto"/>
              <w:rPr>
                <w:rFonts w:eastAsia="Times New Roman" w:cs="Arial"/>
                <w:b/>
                <w:bCs/>
                <w:lang w:eastAsia="da-DK"/>
              </w:rPr>
            </w:pPr>
            <w:r w:rsidRPr="00001423">
              <w:rPr>
                <w:rFonts w:eastAsia="Times New Roman" w:cs="Arial"/>
                <w:lang w:eastAsia="da-DK"/>
              </w:rPr>
              <w:t>1.000 kr.</w:t>
            </w:r>
            <w:r>
              <w:rPr>
                <w:rFonts w:eastAsia="Times New Roman" w:cs="Arial"/>
                <w:lang w:eastAsia="da-DK"/>
              </w:rPr>
              <w:t xml:space="preserve"> (PL2025)</w:t>
            </w:r>
          </w:p>
        </w:tc>
        <w:tc>
          <w:tcPr>
            <w:tcW w:w="1001" w:type="dxa"/>
            <w:tcBorders>
              <w:top w:val="single" w:sz="4" w:space="0" w:color="auto"/>
              <w:left w:val="nil"/>
              <w:bottom w:val="single" w:sz="4" w:space="0" w:color="auto"/>
              <w:right w:val="nil"/>
            </w:tcBorders>
            <w:shd w:val="clear" w:color="auto" w:fill="DBE5F1" w:themeFill="accent1" w:themeFillTint="33"/>
            <w:noWrap/>
            <w:vAlign w:val="center"/>
          </w:tcPr>
          <w:p w14:paraId="07E61F57" w14:textId="77777777" w:rsidR="001D1818" w:rsidRPr="00001423" w:rsidRDefault="001D1818" w:rsidP="0056420D">
            <w:pPr>
              <w:spacing w:line="240" w:lineRule="auto"/>
              <w:jc w:val="right"/>
              <w:rPr>
                <w:rFonts w:eastAsia="Times New Roman" w:cs="Arial"/>
                <w:b/>
                <w:bCs/>
                <w:lang w:eastAsia="da-DK"/>
              </w:rPr>
            </w:pPr>
            <w:r>
              <w:rPr>
                <w:b/>
                <w:bCs/>
              </w:rPr>
              <w:t>2024</w:t>
            </w:r>
          </w:p>
        </w:tc>
        <w:tc>
          <w:tcPr>
            <w:tcW w:w="1127" w:type="dxa"/>
            <w:tcBorders>
              <w:top w:val="single" w:sz="4" w:space="0" w:color="auto"/>
              <w:left w:val="nil"/>
              <w:bottom w:val="single" w:sz="4" w:space="0" w:color="auto"/>
              <w:right w:val="nil"/>
            </w:tcBorders>
            <w:shd w:val="clear" w:color="auto" w:fill="DBE5F1" w:themeFill="accent1" w:themeFillTint="33"/>
            <w:noWrap/>
            <w:vAlign w:val="center"/>
          </w:tcPr>
          <w:p w14:paraId="224D0AA6" w14:textId="77777777" w:rsidR="001D1818" w:rsidRPr="00001423" w:rsidRDefault="001D1818" w:rsidP="0056420D">
            <w:pPr>
              <w:spacing w:line="240" w:lineRule="auto"/>
              <w:jc w:val="right"/>
              <w:rPr>
                <w:rFonts w:eastAsia="Times New Roman" w:cs="Arial"/>
                <w:b/>
                <w:bCs/>
                <w:lang w:eastAsia="da-DK"/>
              </w:rPr>
            </w:pPr>
            <w:r>
              <w:rPr>
                <w:b/>
                <w:bCs/>
              </w:rPr>
              <w:t>2025</w:t>
            </w:r>
          </w:p>
        </w:tc>
      </w:tr>
      <w:tr w:rsidR="001D1818" w:rsidRPr="00001423" w14:paraId="70051A77" w14:textId="77777777" w:rsidTr="0056420D">
        <w:trPr>
          <w:trHeight w:val="106"/>
        </w:trPr>
        <w:tc>
          <w:tcPr>
            <w:tcW w:w="5102" w:type="dxa"/>
            <w:tcBorders>
              <w:top w:val="nil"/>
              <w:left w:val="nil"/>
              <w:right w:val="nil"/>
            </w:tcBorders>
            <w:shd w:val="clear" w:color="auto" w:fill="DBE5F1" w:themeFill="accent1" w:themeFillTint="33"/>
            <w:noWrap/>
            <w:vAlign w:val="center"/>
            <w:hideMark/>
          </w:tcPr>
          <w:p w14:paraId="52CC70F2" w14:textId="77777777" w:rsidR="001D1818" w:rsidRPr="00001423" w:rsidRDefault="001D1818" w:rsidP="0056420D">
            <w:pPr>
              <w:spacing w:line="240" w:lineRule="auto"/>
              <w:rPr>
                <w:rFonts w:eastAsia="Times New Roman" w:cs="Arial"/>
                <w:b/>
                <w:bCs/>
                <w:lang w:eastAsia="da-DK"/>
              </w:rPr>
            </w:pPr>
            <w:r w:rsidRPr="00001423">
              <w:rPr>
                <w:rFonts w:eastAsia="Times New Roman" w:cs="Arial"/>
                <w:b/>
                <w:bCs/>
                <w:lang w:eastAsia="da-DK"/>
              </w:rPr>
              <w:t> </w:t>
            </w:r>
          </w:p>
        </w:tc>
        <w:tc>
          <w:tcPr>
            <w:tcW w:w="1001" w:type="dxa"/>
            <w:tcBorders>
              <w:top w:val="single" w:sz="4" w:space="0" w:color="auto"/>
              <w:left w:val="nil"/>
              <w:right w:val="nil"/>
            </w:tcBorders>
            <w:shd w:val="clear" w:color="auto" w:fill="DBE5F1" w:themeFill="accent1" w:themeFillTint="33"/>
            <w:noWrap/>
            <w:vAlign w:val="center"/>
            <w:hideMark/>
          </w:tcPr>
          <w:p w14:paraId="0815D09B" w14:textId="77777777" w:rsidR="001D1818" w:rsidRPr="00001423" w:rsidRDefault="001D1818" w:rsidP="0056420D">
            <w:pPr>
              <w:spacing w:line="240" w:lineRule="auto"/>
              <w:jc w:val="right"/>
              <w:rPr>
                <w:rFonts w:eastAsia="Times New Roman" w:cs="Arial"/>
                <w:lang w:eastAsia="da-DK"/>
              </w:rPr>
            </w:pPr>
          </w:p>
        </w:tc>
        <w:tc>
          <w:tcPr>
            <w:tcW w:w="1127" w:type="dxa"/>
            <w:tcBorders>
              <w:top w:val="single" w:sz="4" w:space="0" w:color="auto"/>
              <w:left w:val="nil"/>
              <w:right w:val="nil"/>
            </w:tcBorders>
            <w:shd w:val="clear" w:color="auto" w:fill="DBE5F1" w:themeFill="accent1" w:themeFillTint="33"/>
            <w:vAlign w:val="center"/>
          </w:tcPr>
          <w:p w14:paraId="47F07D56" w14:textId="77777777" w:rsidR="001D1818" w:rsidRPr="00001423" w:rsidRDefault="001D1818" w:rsidP="0056420D">
            <w:pPr>
              <w:spacing w:line="240" w:lineRule="auto"/>
              <w:jc w:val="right"/>
              <w:rPr>
                <w:rFonts w:eastAsia="Times New Roman" w:cs="Arial"/>
                <w:lang w:eastAsia="da-DK"/>
              </w:rPr>
            </w:pPr>
          </w:p>
        </w:tc>
      </w:tr>
      <w:tr w:rsidR="001D1818" w:rsidRPr="00001423" w14:paraId="56DEDC8A" w14:textId="77777777" w:rsidTr="0056420D">
        <w:trPr>
          <w:trHeight w:val="299"/>
        </w:trPr>
        <w:tc>
          <w:tcPr>
            <w:tcW w:w="5102" w:type="dxa"/>
            <w:tcBorders>
              <w:top w:val="nil"/>
              <w:left w:val="nil"/>
              <w:bottom w:val="single" w:sz="4" w:space="0" w:color="auto"/>
              <w:right w:val="nil"/>
            </w:tcBorders>
            <w:shd w:val="clear" w:color="auto" w:fill="DBE5F1" w:themeFill="accent1" w:themeFillTint="33"/>
            <w:noWrap/>
            <w:vAlign w:val="center"/>
            <w:hideMark/>
          </w:tcPr>
          <w:p w14:paraId="0ED53959" w14:textId="77777777" w:rsidR="001D1818" w:rsidRPr="00001423" w:rsidRDefault="001D1818" w:rsidP="0056420D">
            <w:pPr>
              <w:spacing w:line="240" w:lineRule="auto"/>
              <w:rPr>
                <w:rFonts w:eastAsia="Times New Roman" w:cs="Arial"/>
                <w:lang w:eastAsia="da-DK"/>
              </w:rPr>
            </w:pPr>
            <w:r>
              <w:rPr>
                <w:rFonts w:eastAsia="Times New Roman" w:cs="Arial"/>
                <w:lang w:eastAsia="da-DK"/>
              </w:rPr>
              <w:t>Samlede budgetter til administration i magistratsafdeling</w:t>
            </w:r>
          </w:p>
        </w:tc>
        <w:tc>
          <w:tcPr>
            <w:tcW w:w="1001" w:type="dxa"/>
            <w:tcBorders>
              <w:top w:val="nil"/>
              <w:left w:val="nil"/>
              <w:bottom w:val="single" w:sz="4" w:space="0" w:color="auto"/>
              <w:right w:val="nil"/>
            </w:tcBorders>
            <w:shd w:val="clear" w:color="auto" w:fill="DBE5F1" w:themeFill="accent1" w:themeFillTint="33"/>
            <w:noWrap/>
            <w:vAlign w:val="center"/>
            <w:hideMark/>
          </w:tcPr>
          <w:p w14:paraId="2505D763" w14:textId="77777777" w:rsidR="001D1818" w:rsidRPr="00001423" w:rsidRDefault="001D1818" w:rsidP="0056420D">
            <w:pPr>
              <w:spacing w:before="60" w:after="60" w:line="240" w:lineRule="auto"/>
              <w:jc w:val="right"/>
              <w:rPr>
                <w:rFonts w:cs="Arial"/>
                <w:color w:val="000000"/>
              </w:rPr>
            </w:pPr>
            <w:r w:rsidRPr="0057307A">
              <w:t>287.571</w:t>
            </w:r>
          </w:p>
        </w:tc>
        <w:tc>
          <w:tcPr>
            <w:tcW w:w="1127" w:type="dxa"/>
            <w:tcBorders>
              <w:top w:val="nil"/>
              <w:left w:val="nil"/>
              <w:bottom w:val="single" w:sz="4" w:space="0" w:color="auto"/>
              <w:right w:val="nil"/>
            </w:tcBorders>
            <w:shd w:val="clear" w:color="auto" w:fill="DBE5F1" w:themeFill="accent1" w:themeFillTint="33"/>
            <w:noWrap/>
            <w:vAlign w:val="center"/>
            <w:hideMark/>
          </w:tcPr>
          <w:p w14:paraId="6C24B273" w14:textId="77777777" w:rsidR="001D1818" w:rsidRPr="00001423" w:rsidRDefault="001D1818" w:rsidP="0056420D">
            <w:pPr>
              <w:spacing w:before="60" w:after="60" w:line="240" w:lineRule="auto"/>
              <w:jc w:val="right"/>
              <w:rPr>
                <w:rFonts w:cs="Arial"/>
                <w:color w:val="000000"/>
              </w:rPr>
            </w:pPr>
            <w:r w:rsidRPr="00C03216">
              <w:t>288.795</w:t>
            </w:r>
          </w:p>
        </w:tc>
      </w:tr>
      <w:tr w:rsidR="001D1818" w:rsidRPr="00001423" w14:paraId="3FD85D53" w14:textId="77777777" w:rsidTr="0056420D">
        <w:trPr>
          <w:trHeight w:val="299"/>
        </w:trPr>
        <w:tc>
          <w:tcPr>
            <w:tcW w:w="5102" w:type="dxa"/>
            <w:tcBorders>
              <w:top w:val="single" w:sz="4" w:space="0" w:color="auto"/>
              <w:left w:val="nil"/>
              <w:bottom w:val="dashed" w:sz="4" w:space="0" w:color="auto"/>
              <w:right w:val="nil"/>
            </w:tcBorders>
            <w:shd w:val="clear" w:color="auto" w:fill="DBE5F1" w:themeFill="accent1" w:themeFillTint="33"/>
            <w:noWrap/>
            <w:vAlign w:val="center"/>
          </w:tcPr>
          <w:p w14:paraId="3EBF703A" w14:textId="77777777" w:rsidR="001D1818" w:rsidRDefault="001D1818" w:rsidP="0056420D">
            <w:pPr>
              <w:spacing w:line="240" w:lineRule="auto"/>
              <w:rPr>
                <w:rFonts w:eastAsia="Times New Roman" w:cs="Arial"/>
                <w:lang w:eastAsia="da-DK"/>
              </w:rPr>
            </w:pPr>
            <w:r>
              <w:rPr>
                <w:rFonts w:eastAsia="Times New Roman" w:cs="Arial"/>
                <w:lang w:eastAsia="da-DK"/>
              </w:rPr>
              <w:t>Administrative besparelser</w:t>
            </w:r>
          </w:p>
        </w:tc>
        <w:tc>
          <w:tcPr>
            <w:tcW w:w="1001" w:type="dxa"/>
            <w:tcBorders>
              <w:top w:val="single" w:sz="4" w:space="0" w:color="auto"/>
              <w:left w:val="nil"/>
              <w:bottom w:val="dashed" w:sz="4" w:space="0" w:color="auto"/>
              <w:right w:val="nil"/>
            </w:tcBorders>
            <w:shd w:val="clear" w:color="auto" w:fill="DBE5F1" w:themeFill="accent1" w:themeFillTint="33"/>
            <w:noWrap/>
            <w:vAlign w:val="center"/>
          </w:tcPr>
          <w:p w14:paraId="51412F98" w14:textId="77777777" w:rsidR="001D1818" w:rsidRDefault="001D1818" w:rsidP="0056420D">
            <w:pPr>
              <w:spacing w:before="60" w:after="60" w:line="240" w:lineRule="auto"/>
              <w:jc w:val="right"/>
            </w:pPr>
            <w:r>
              <w:t>-</w:t>
            </w:r>
            <w:r w:rsidRPr="00727C25">
              <w:t>10.</w:t>
            </w:r>
            <w:r>
              <w:t>471</w:t>
            </w:r>
          </w:p>
        </w:tc>
        <w:tc>
          <w:tcPr>
            <w:tcW w:w="1127" w:type="dxa"/>
            <w:tcBorders>
              <w:top w:val="single" w:sz="4" w:space="0" w:color="auto"/>
              <w:left w:val="nil"/>
              <w:bottom w:val="dashed" w:sz="4" w:space="0" w:color="auto"/>
              <w:right w:val="nil"/>
            </w:tcBorders>
            <w:shd w:val="clear" w:color="auto" w:fill="DBE5F1" w:themeFill="accent1" w:themeFillTint="33"/>
            <w:noWrap/>
            <w:vAlign w:val="center"/>
          </w:tcPr>
          <w:p w14:paraId="4CCBC1D8" w14:textId="77777777" w:rsidR="001D1818" w:rsidRDefault="001D1818" w:rsidP="0056420D">
            <w:pPr>
              <w:spacing w:before="60" w:after="60" w:line="240" w:lineRule="auto"/>
              <w:jc w:val="right"/>
            </w:pPr>
            <w:r>
              <w:t>-5.750</w:t>
            </w:r>
          </w:p>
        </w:tc>
      </w:tr>
      <w:tr w:rsidR="001D1818" w:rsidRPr="00001423" w14:paraId="48DEC1C0" w14:textId="77777777" w:rsidTr="0056420D">
        <w:trPr>
          <w:trHeight w:val="299"/>
        </w:trPr>
        <w:tc>
          <w:tcPr>
            <w:tcW w:w="5102" w:type="dxa"/>
            <w:tcBorders>
              <w:top w:val="dashed" w:sz="4" w:space="0" w:color="auto"/>
              <w:left w:val="nil"/>
              <w:bottom w:val="nil"/>
              <w:right w:val="nil"/>
            </w:tcBorders>
            <w:shd w:val="clear" w:color="auto" w:fill="DBE5F1" w:themeFill="accent1" w:themeFillTint="33"/>
            <w:noWrap/>
            <w:vAlign w:val="center"/>
          </w:tcPr>
          <w:p w14:paraId="6A811B88" w14:textId="77777777" w:rsidR="001D1818" w:rsidRDefault="001D1818" w:rsidP="0056420D">
            <w:pPr>
              <w:spacing w:line="240" w:lineRule="auto"/>
              <w:rPr>
                <w:rFonts w:eastAsia="Times New Roman" w:cs="Arial"/>
                <w:lang w:eastAsia="da-DK"/>
              </w:rPr>
            </w:pPr>
            <w:r>
              <w:rPr>
                <w:rFonts w:eastAsia="Times New Roman" w:cs="Arial"/>
                <w:lang w:eastAsia="da-DK"/>
              </w:rPr>
              <w:t>Samlede budgetter decentralt</w:t>
            </w:r>
          </w:p>
        </w:tc>
        <w:tc>
          <w:tcPr>
            <w:tcW w:w="1001" w:type="dxa"/>
            <w:tcBorders>
              <w:top w:val="dashed" w:sz="4" w:space="0" w:color="auto"/>
              <w:left w:val="nil"/>
              <w:bottom w:val="nil"/>
              <w:right w:val="nil"/>
            </w:tcBorders>
            <w:shd w:val="clear" w:color="auto" w:fill="DBE5F1" w:themeFill="accent1" w:themeFillTint="33"/>
            <w:noWrap/>
            <w:vAlign w:val="center"/>
          </w:tcPr>
          <w:p w14:paraId="760A1D33" w14:textId="77777777" w:rsidR="001D1818" w:rsidRPr="00915DD3" w:rsidRDefault="001D1818" w:rsidP="0056420D">
            <w:pPr>
              <w:spacing w:before="60" w:after="60" w:line="240" w:lineRule="auto"/>
              <w:jc w:val="right"/>
            </w:pPr>
            <w:r w:rsidRPr="00DA269D">
              <w:t>2.779.574</w:t>
            </w:r>
          </w:p>
        </w:tc>
        <w:tc>
          <w:tcPr>
            <w:tcW w:w="1127" w:type="dxa"/>
            <w:tcBorders>
              <w:top w:val="dashed" w:sz="4" w:space="0" w:color="auto"/>
              <w:left w:val="nil"/>
              <w:bottom w:val="nil"/>
              <w:right w:val="nil"/>
            </w:tcBorders>
            <w:shd w:val="clear" w:color="auto" w:fill="DBE5F1" w:themeFill="accent1" w:themeFillTint="33"/>
            <w:noWrap/>
            <w:vAlign w:val="center"/>
          </w:tcPr>
          <w:p w14:paraId="7D0F23D6" w14:textId="77777777" w:rsidR="001D1818" w:rsidRPr="00915DD3" w:rsidRDefault="001D1818" w:rsidP="0056420D">
            <w:pPr>
              <w:spacing w:before="60" w:after="60" w:line="240" w:lineRule="auto"/>
              <w:jc w:val="right"/>
            </w:pPr>
            <w:r w:rsidRPr="0006051E">
              <w:t xml:space="preserve">2.954.504 </w:t>
            </w:r>
          </w:p>
        </w:tc>
      </w:tr>
      <w:tr w:rsidR="001D1818" w:rsidRPr="00001423" w14:paraId="0F4B470D" w14:textId="77777777" w:rsidTr="0056420D">
        <w:trPr>
          <w:trHeight w:val="299"/>
        </w:trPr>
        <w:tc>
          <w:tcPr>
            <w:tcW w:w="5102" w:type="dxa"/>
            <w:tcBorders>
              <w:top w:val="nil"/>
              <w:left w:val="nil"/>
              <w:right w:val="nil"/>
            </w:tcBorders>
            <w:shd w:val="clear" w:color="auto" w:fill="DBE5F1" w:themeFill="accent1" w:themeFillTint="33"/>
            <w:noWrap/>
            <w:vAlign w:val="center"/>
            <w:hideMark/>
          </w:tcPr>
          <w:p w14:paraId="24BBCA14" w14:textId="77777777" w:rsidR="001D1818" w:rsidRPr="000059C5" w:rsidRDefault="001D1818" w:rsidP="0056420D">
            <w:pPr>
              <w:spacing w:line="240" w:lineRule="auto"/>
              <w:rPr>
                <w:rFonts w:eastAsia="Times New Roman" w:cs="Arial"/>
                <w:i/>
                <w:iCs/>
                <w:lang w:eastAsia="da-DK"/>
              </w:rPr>
            </w:pPr>
            <w:r w:rsidRPr="000059C5">
              <w:rPr>
                <w:rFonts w:eastAsia="Times New Roman" w:cs="Arial"/>
                <w:i/>
                <w:iCs/>
                <w:lang w:eastAsia="da-DK"/>
              </w:rPr>
              <w:t>- heraf</w:t>
            </w:r>
            <w:r>
              <w:rPr>
                <w:rFonts w:eastAsia="Times New Roman" w:cs="Arial"/>
                <w:i/>
                <w:iCs/>
                <w:lang w:eastAsia="da-DK"/>
              </w:rPr>
              <w:t xml:space="preserve"> administrative besparelser</w:t>
            </w:r>
            <w:r w:rsidRPr="000059C5">
              <w:rPr>
                <w:rFonts w:eastAsia="Times New Roman" w:cs="Arial"/>
                <w:i/>
                <w:iCs/>
                <w:lang w:eastAsia="da-DK"/>
              </w:rPr>
              <w:t xml:space="preserve"> decentralt</w:t>
            </w:r>
          </w:p>
        </w:tc>
        <w:tc>
          <w:tcPr>
            <w:tcW w:w="1001" w:type="dxa"/>
            <w:tcBorders>
              <w:top w:val="nil"/>
              <w:left w:val="nil"/>
              <w:right w:val="nil"/>
            </w:tcBorders>
            <w:shd w:val="clear" w:color="auto" w:fill="DBE5F1" w:themeFill="accent1" w:themeFillTint="33"/>
            <w:noWrap/>
            <w:vAlign w:val="center"/>
            <w:hideMark/>
          </w:tcPr>
          <w:p w14:paraId="5344273F" w14:textId="77777777" w:rsidR="001D1818" w:rsidRPr="000059C5" w:rsidRDefault="001D1818" w:rsidP="0056420D">
            <w:pPr>
              <w:spacing w:before="60" w:after="60" w:line="240" w:lineRule="auto"/>
              <w:jc w:val="right"/>
              <w:rPr>
                <w:rFonts w:cs="Arial"/>
                <w:i/>
                <w:iCs/>
                <w:color w:val="000000"/>
              </w:rPr>
            </w:pPr>
            <w:r>
              <w:rPr>
                <w:i/>
                <w:iCs/>
              </w:rPr>
              <w:t>-61</w:t>
            </w:r>
          </w:p>
        </w:tc>
        <w:tc>
          <w:tcPr>
            <w:tcW w:w="1127" w:type="dxa"/>
            <w:tcBorders>
              <w:top w:val="nil"/>
              <w:left w:val="nil"/>
              <w:right w:val="nil"/>
            </w:tcBorders>
            <w:shd w:val="clear" w:color="auto" w:fill="DBE5F1" w:themeFill="accent1" w:themeFillTint="33"/>
            <w:noWrap/>
            <w:vAlign w:val="center"/>
            <w:hideMark/>
          </w:tcPr>
          <w:p w14:paraId="78A28EC0" w14:textId="77777777" w:rsidR="001D1818" w:rsidRPr="000059C5" w:rsidRDefault="001D1818" w:rsidP="0056420D">
            <w:pPr>
              <w:spacing w:before="60" w:after="60" w:line="240" w:lineRule="auto"/>
              <w:jc w:val="right"/>
              <w:rPr>
                <w:rFonts w:cs="Arial"/>
                <w:i/>
                <w:iCs/>
                <w:color w:val="000000"/>
              </w:rPr>
            </w:pPr>
            <w:r>
              <w:rPr>
                <w:i/>
                <w:iCs/>
              </w:rPr>
              <w:t>0</w:t>
            </w:r>
          </w:p>
        </w:tc>
      </w:tr>
      <w:tr w:rsidR="001D1818" w:rsidRPr="00001423" w14:paraId="0E0ED4F4" w14:textId="77777777" w:rsidTr="0056420D">
        <w:trPr>
          <w:trHeight w:val="299"/>
        </w:trPr>
        <w:tc>
          <w:tcPr>
            <w:tcW w:w="5102" w:type="dxa"/>
            <w:tcBorders>
              <w:top w:val="nil"/>
              <w:left w:val="nil"/>
              <w:right w:val="nil"/>
            </w:tcBorders>
            <w:shd w:val="clear" w:color="auto" w:fill="DBE5F1" w:themeFill="accent1" w:themeFillTint="33"/>
            <w:noWrap/>
            <w:vAlign w:val="center"/>
          </w:tcPr>
          <w:p w14:paraId="55F17565" w14:textId="77777777" w:rsidR="001D1818" w:rsidRPr="000059C5" w:rsidRDefault="001D1818" w:rsidP="0056420D">
            <w:pPr>
              <w:spacing w:line="240" w:lineRule="auto"/>
              <w:rPr>
                <w:rFonts w:eastAsia="Times New Roman" w:cs="Arial"/>
                <w:i/>
                <w:iCs/>
                <w:lang w:eastAsia="da-DK"/>
              </w:rPr>
            </w:pPr>
            <w:r>
              <w:rPr>
                <w:rFonts w:eastAsia="Times New Roman" w:cs="Arial"/>
                <w:lang w:eastAsia="da-DK"/>
              </w:rPr>
              <w:t>Samlede budgetter centralt</w:t>
            </w:r>
          </w:p>
        </w:tc>
        <w:tc>
          <w:tcPr>
            <w:tcW w:w="1001" w:type="dxa"/>
            <w:tcBorders>
              <w:top w:val="nil"/>
              <w:left w:val="nil"/>
              <w:right w:val="nil"/>
            </w:tcBorders>
            <w:shd w:val="clear" w:color="auto" w:fill="DBE5F1" w:themeFill="accent1" w:themeFillTint="33"/>
            <w:noWrap/>
            <w:vAlign w:val="center"/>
          </w:tcPr>
          <w:p w14:paraId="2B317BF5" w14:textId="77777777" w:rsidR="001D1818" w:rsidRPr="00915DD3" w:rsidRDefault="001D1818" w:rsidP="0056420D">
            <w:pPr>
              <w:spacing w:before="60" w:after="60" w:line="240" w:lineRule="auto"/>
              <w:jc w:val="right"/>
            </w:pPr>
            <w:r w:rsidRPr="00936177">
              <w:t>401.235</w:t>
            </w:r>
          </w:p>
        </w:tc>
        <w:tc>
          <w:tcPr>
            <w:tcW w:w="1127" w:type="dxa"/>
            <w:tcBorders>
              <w:top w:val="nil"/>
              <w:left w:val="nil"/>
              <w:right w:val="nil"/>
            </w:tcBorders>
            <w:shd w:val="clear" w:color="auto" w:fill="DBE5F1" w:themeFill="accent1" w:themeFillTint="33"/>
            <w:noWrap/>
            <w:vAlign w:val="center"/>
          </w:tcPr>
          <w:p w14:paraId="246D3ECC" w14:textId="77777777" w:rsidR="001D1818" w:rsidRPr="00915DD3" w:rsidRDefault="001D1818" w:rsidP="0056420D">
            <w:pPr>
              <w:spacing w:before="60" w:after="60" w:line="240" w:lineRule="auto"/>
              <w:jc w:val="right"/>
            </w:pPr>
            <w:r>
              <w:t xml:space="preserve"> 414.545</w:t>
            </w:r>
          </w:p>
        </w:tc>
      </w:tr>
      <w:tr w:rsidR="001D1818" w:rsidRPr="00001423" w14:paraId="189B075C" w14:textId="77777777" w:rsidTr="0056420D">
        <w:trPr>
          <w:trHeight w:val="299"/>
        </w:trPr>
        <w:tc>
          <w:tcPr>
            <w:tcW w:w="5102" w:type="dxa"/>
            <w:tcBorders>
              <w:top w:val="nil"/>
              <w:left w:val="nil"/>
              <w:bottom w:val="single" w:sz="4" w:space="0" w:color="auto"/>
              <w:right w:val="nil"/>
            </w:tcBorders>
            <w:shd w:val="clear" w:color="auto" w:fill="DBE5F1" w:themeFill="accent1" w:themeFillTint="33"/>
            <w:noWrap/>
            <w:vAlign w:val="center"/>
            <w:hideMark/>
          </w:tcPr>
          <w:p w14:paraId="6A0C5AFF" w14:textId="77777777" w:rsidR="001D1818" w:rsidRPr="000059C5" w:rsidRDefault="001D1818" w:rsidP="0056420D">
            <w:pPr>
              <w:spacing w:line="240" w:lineRule="auto"/>
              <w:rPr>
                <w:rFonts w:eastAsia="Times New Roman" w:cs="Arial"/>
                <w:i/>
                <w:iCs/>
                <w:lang w:eastAsia="da-DK"/>
              </w:rPr>
            </w:pPr>
            <w:r w:rsidRPr="000059C5">
              <w:rPr>
                <w:rFonts w:eastAsia="Times New Roman" w:cs="Arial"/>
                <w:i/>
                <w:iCs/>
                <w:lang w:eastAsia="da-DK"/>
              </w:rPr>
              <w:t>- heraf</w:t>
            </w:r>
            <w:r>
              <w:rPr>
                <w:rFonts w:eastAsia="Times New Roman" w:cs="Arial"/>
                <w:i/>
                <w:iCs/>
                <w:lang w:eastAsia="da-DK"/>
              </w:rPr>
              <w:t xml:space="preserve"> administrative besparelser</w:t>
            </w:r>
            <w:r w:rsidRPr="000059C5">
              <w:rPr>
                <w:rFonts w:eastAsia="Times New Roman" w:cs="Arial"/>
                <w:i/>
                <w:iCs/>
                <w:lang w:eastAsia="da-DK"/>
              </w:rPr>
              <w:t xml:space="preserve"> centralt</w:t>
            </w:r>
          </w:p>
        </w:tc>
        <w:tc>
          <w:tcPr>
            <w:tcW w:w="1001" w:type="dxa"/>
            <w:tcBorders>
              <w:top w:val="nil"/>
              <w:left w:val="nil"/>
              <w:bottom w:val="single" w:sz="4" w:space="0" w:color="auto"/>
              <w:right w:val="nil"/>
            </w:tcBorders>
            <w:shd w:val="clear" w:color="auto" w:fill="DBE5F1" w:themeFill="accent1" w:themeFillTint="33"/>
            <w:noWrap/>
            <w:vAlign w:val="center"/>
            <w:hideMark/>
          </w:tcPr>
          <w:p w14:paraId="770BD7FA" w14:textId="77777777" w:rsidR="001D1818" w:rsidRPr="000059C5" w:rsidRDefault="001D1818" w:rsidP="0056420D">
            <w:pPr>
              <w:spacing w:before="60" w:after="60" w:line="240" w:lineRule="auto"/>
              <w:jc w:val="right"/>
              <w:rPr>
                <w:rFonts w:cs="Arial"/>
                <w:i/>
                <w:iCs/>
                <w:color w:val="000000"/>
              </w:rPr>
            </w:pPr>
            <w:r>
              <w:rPr>
                <w:i/>
                <w:iCs/>
              </w:rPr>
              <w:t>-10.410</w:t>
            </w:r>
          </w:p>
        </w:tc>
        <w:tc>
          <w:tcPr>
            <w:tcW w:w="1127" w:type="dxa"/>
            <w:tcBorders>
              <w:top w:val="nil"/>
              <w:left w:val="nil"/>
              <w:bottom w:val="single" w:sz="4" w:space="0" w:color="auto"/>
              <w:right w:val="nil"/>
            </w:tcBorders>
            <w:shd w:val="clear" w:color="auto" w:fill="DBE5F1" w:themeFill="accent1" w:themeFillTint="33"/>
            <w:noWrap/>
            <w:vAlign w:val="center"/>
            <w:hideMark/>
          </w:tcPr>
          <w:p w14:paraId="1C698EE1" w14:textId="77777777" w:rsidR="001D1818" w:rsidRPr="000059C5" w:rsidRDefault="001D1818" w:rsidP="0056420D">
            <w:pPr>
              <w:spacing w:before="60" w:after="60" w:line="240" w:lineRule="auto"/>
              <w:jc w:val="right"/>
              <w:rPr>
                <w:rFonts w:cs="Arial"/>
                <w:i/>
                <w:iCs/>
                <w:color w:val="000000"/>
              </w:rPr>
            </w:pPr>
            <w:r>
              <w:rPr>
                <w:i/>
                <w:iCs/>
              </w:rPr>
              <w:t>-5.750</w:t>
            </w:r>
          </w:p>
        </w:tc>
      </w:tr>
    </w:tbl>
    <w:p w14:paraId="0E76220D" w14:textId="77777777" w:rsidR="001D1818" w:rsidRDefault="001D1818" w:rsidP="001D1818">
      <w:pPr>
        <w:spacing w:line="340" w:lineRule="atLeast"/>
        <w:jc w:val="both"/>
        <w:rPr>
          <w:rFonts w:ascii="Verdana" w:eastAsia="Calibri" w:hAnsi="Verdana"/>
          <w:sz w:val="22"/>
          <w:szCs w:val="22"/>
          <w:lang w:val="nb-NO"/>
        </w:rPr>
      </w:pPr>
    </w:p>
    <w:p w14:paraId="65050717" w14:textId="77777777" w:rsidR="001D1818" w:rsidRDefault="001D1818" w:rsidP="001D1818">
      <w:r>
        <w:t>”Administration” defineres som lønbudgetter på:</w:t>
      </w:r>
    </w:p>
    <w:p w14:paraId="0CEDEA4E" w14:textId="77777777" w:rsidR="001D1818" w:rsidRDefault="001D1818" w:rsidP="001D1818">
      <w:pPr>
        <w:pStyle w:val="Listeafsnit"/>
        <w:numPr>
          <w:ilvl w:val="0"/>
          <w:numId w:val="5"/>
        </w:numPr>
      </w:pPr>
      <w:r>
        <w:t xml:space="preserve">Det administrative kontoafsnit (”hovedkonto 6”) </w:t>
      </w:r>
    </w:p>
    <w:p w14:paraId="1E4269DC" w14:textId="77777777" w:rsidR="001D1818" w:rsidRDefault="001D1818" w:rsidP="001D1818">
      <w:pPr>
        <w:pStyle w:val="Listeafsnit"/>
        <w:numPr>
          <w:ilvl w:val="0"/>
          <w:numId w:val="5"/>
        </w:numPr>
      </w:pPr>
      <w:r>
        <w:t>Administrative enheder på kontoafsnittet vedr. drift (”hovedkonto 5”). Det er ledelse, administration og stabe i de tre driftsforvaltninger (Ældre og Omsorg, Pleje og Rehabilitering og Sundhed og Forebyggelse)</w:t>
      </w:r>
    </w:p>
    <w:p w14:paraId="74E3E73F" w14:textId="77777777" w:rsidR="001D1818" w:rsidRDefault="001D1818" w:rsidP="001D1818"/>
    <w:p w14:paraId="662B6348" w14:textId="77777777" w:rsidR="001D1818" w:rsidRDefault="001D1818" w:rsidP="001D1818">
      <w:r>
        <w:t xml:space="preserve">Besparelserne vedr. 2024 omfatter både helårseffekt af besparelser fra 2023 og besparelser vedr. 2024. </w:t>
      </w:r>
    </w:p>
    <w:p w14:paraId="298CA3B0" w14:textId="77777777" w:rsidR="001D1818" w:rsidRPr="001D1818" w:rsidRDefault="001D1818" w:rsidP="001D1818"/>
    <w:p w14:paraId="13706B4F" w14:textId="77777777" w:rsidR="001D1818" w:rsidRDefault="001D1818" w:rsidP="001D1818">
      <w:r>
        <w:t xml:space="preserve">Det er hensigten, at de decentrale enheder i størst muligt omfang friholdes for de kommende administrative besparelser – på samme måde som ved de administrative besparelser i 2023 og 2024. </w:t>
      </w:r>
    </w:p>
    <w:p w14:paraId="5AD17D67" w14:textId="77777777" w:rsidR="001D1818" w:rsidRDefault="001D1818" w:rsidP="001D1818"/>
    <w:p w14:paraId="31C4D21A" w14:textId="77777777" w:rsidR="001D1818" w:rsidRPr="00480FDC" w:rsidRDefault="001D1818" w:rsidP="001D1818">
      <w:r>
        <w:t>Håndteringen af de fremtidige administrative besparelser er udfordret. For det første er det vurderingen i Sundhed og Omsorg, at der anvendes flere administrative ressourcer på det nye vagtplans- og lønsystem, end der skulle på det tidligere system. Det ser ikke umiddelbart ud til, at ressourcetrækket bliver mindre for den næste periode. For det andet er Sundhed og Omsorg i færd med at implementere ældrereformen og sundhedsreformen. Her ligger der også et væsentligt administrativt ressourceforbrug i et implementeringsforløb, der forventes at foregå i de næste år.</w:t>
      </w:r>
    </w:p>
    <w:p w14:paraId="35F382C1" w14:textId="77777777" w:rsidR="00C15C75" w:rsidRDefault="00C15C75" w:rsidP="001D1818">
      <w:pPr>
        <w:pStyle w:val="Overskrift1"/>
        <w:jc w:val="both"/>
      </w:pPr>
    </w:p>
    <w:p w14:paraId="7ABB5BA8" w14:textId="77777777" w:rsidR="001D1818" w:rsidRDefault="001D1818" w:rsidP="001D1818"/>
    <w:p w14:paraId="35816BD7" w14:textId="77777777" w:rsidR="001D1818" w:rsidRDefault="001D1818" w:rsidP="001D1818"/>
    <w:p w14:paraId="2B834DE3" w14:textId="77777777" w:rsidR="00936F0C" w:rsidRDefault="00936F0C">
      <w:pPr>
        <w:spacing w:line="300" w:lineRule="atLeast"/>
        <w:rPr>
          <w:rFonts w:eastAsiaTheme="majorEastAsia" w:cstheme="majorBidi"/>
          <w:b/>
          <w:bCs/>
          <w:sz w:val="22"/>
          <w:szCs w:val="28"/>
        </w:rPr>
      </w:pPr>
      <w:r>
        <w:br w:type="page"/>
      </w:r>
    </w:p>
    <w:p w14:paraId="5E53BB9A" w14:textId="67B87C3E" w:rsidR="001D1818" w:rsidRDefault="001D1818" w:rsidP="001D1818">
      <w:pPr>
        <w:pStyle w:val="Overskrift1"/>
        <w:jc w:val="both"/>
      </w:pPr>
      <w:r>
        <w:lastRenderedPageBreak/>
        <w:t>Bilag 4. Kultur og Borgerservice</w:t>
      </w:r>
    </w:p>
    <w:p w14:paraId="1996E85F" w14:textId="77777777" w:rsidR="001D1818" w:rsidRPr="001D1818" w:rsidRDefault="001D1818" w:rsidP="001D1818">
      <w:r w:rsidRPr="001D1818">
        <w:t xml:space="preserve">I Kultur og Borgerservice er de centrale enheder små og en del af administrationen ligger i Fagforvaltningerne, hvor de administrative besparelser fordeles efter en intern nøgle, der tager hensyn til en række faktorer. Fordelingsnøglen beregnes ud fra en lige vægtning af bruttoudgifter, ramme, personaletal registreret på konto 6, administrative udgifter registreret på konto 6 og et grundbidrag pr. forvaltning. </w:t>
      </w:r>
    </w:p>
    <w:p w14:paraId="4D5D46F9" w14:textId="77777777" w:rsidR="001D1818" w:rsidRPr="001D1818" w:rsidRDefault="001D1818" w:rsidP="001D1818"/>
    <w:p w14:paraId="0E789CB8" w14:textId="77777777" w:rsidR="001D1818" w:rsidRPr="001D1818" w:rsidRDefault="001D1818" w:rsidP="001D1818">
      <w:r w:rsidRPr="001D1818">
        <w:t>Fordelingsnøglen skal afbalancere, at en væsentlig del af besparelserne udmøntes på konto 6 udgifter, men at der også er administrative opgaver som vokser med antallet af medarbejdere og budget, som bl.a. bliver uddelt som tilskud.</w:t>
      </w:r>
    </w:p>
    <w:p w14:paraId="442105A7" w14:textId="77777777" w:rsidR="001D1818" w:rsidRPr="001D1818" w:rsidRDefault="001D1818" w:rsidP="001D1818"/>
    <w:p w14:paraId="41E2A418" w14:textId="77777777" w:rsidR="001D1818" w:rsidRPr="001D1818" w:rsidRDefault="001D1818" w:rsidP="001D1818">
      <w:r w:rsidRPr="001D1818">
        <w:t xml:space="preserve">Medarbejdere i Borgerbetjeningen tæller ikke som administrative medarbejdere i nøglen, selv om de er registreret på konto 6. Det er i overensstemmelse med princippet i den tværkommunale nøgle for fordeling af administrative besparelser. </w:t>
      </w:r>
    </w:p>
    <w:p w14:paraId="2EBE110D" w14:textId="77777777" w:rsidR="001D1818" w:rsidRPr="001D1818" w:rsidRDefault="001D1818" w:rsidP="001D1818"/>
    <w:p w14:paraId="4CA0DB84" w14:textId="77777777" w:rsidR="001D1818" w:rsidRPr="001D1818" w:rsidRDefault="001D1818" w:rsidP="001D1818">
      <w:r w:rsidRPr="001D1818">
        <w:t xml:space="preserve">Det forventes at fordelingsnøglen også anvendes til kommende administrative besparelser. Nøglen opdateres løbende med regnskabstal.  </w:t>
      </w:r>
    </w:p>
    <w:p w14:paraId="52122ED8" w14:textId="77777777" w:rsidR="001D1818" w:rsidRPr="001D1818" w:rsidRDefault="001D1818" w:rsidP="001D1818"/>
    <w:p w14:paraId="4D59F1D5" w14:textId="6BCD40DC" w:rsidR="001D1818" w:rsidRPr="001D1818" w:rsidRDefault="001D1818" w:rsidP="001D1818">
      <w:r w:rsidRPr="001D1818">
        <w:t xml:space="preserve">Central administration er defineret som Rådmandssekretariat og Center for Økonomi og Personale, der tilsammen tildeles 11% af besparelsen. Enhederne udgør godt 5 pct. af den samlede økonomi.  </w:t>
      </w:r>
    </w:p>
    <w:p w14:paraId="0E9F6960" w14:textId="77777777" w:rsidR="001D1818" w:rsidRDefault="001D1818" w:rsidP="001D1818">
      <w:pPr>
        <w:spacing w:line="240" w:lineRule="auto"/>
        <w:rPr>
          <w:rFonts w:eastAsia="Times New Roman" w:cs="Arial"/>
          <w:color w:val="000000"/>
          <w:lang w:eastAsia="da-DK"/>
        </w:rPr>
      </w:pPr>
    </w:p>
    <w:p w14:paraId="149A380F" w14:textId="3EE7289E" w:rsidR="001D1818" w:rsidRPr="001D1818" w:rsidRDefault="001D1818" w:rsidP="001D1818">
      <w:pPr>
        <w:pStyle w:val="TabeloverskriftII"/>
        <w:ind w:left="0"/>
      </w:pPr>
      <w:r>
        <w:t>Tabel 1: Udmøntning af administrative besparelser i budgetter– Kultur og Borgerservice</w:t>
      </w:r>
    </w:p>
    <w:tbl>
      <w:tblPr>
        <w:tblW w:w="6300" w:type="dxa"/>
        <w:tblCellMar>
          <w:left w:w="70" w:type="dxa"/>
          <w:right w:w="70" w:type="dxa"/>
        </w:tblCellMar>
        <w:tblLook w:val="04A0" w:firstRow="1" w:lastRow="0" w:firstColumn="1" w:lastColumn="0" w:noHBand="0" w:noVBand="1"/>
      </w:tblPr>
      <w:tblGrid>
        <w:gridCol w:w="3980"/>
        <w:gridCol w:w="1140"/>
        <w:gridCol w:w="1180"/>
      </w:tblGrid>
      <w:tr w:rsidR="001D1818" w:rsidRPr="00241E85" w14:paraId="64BDD4E2" w14:textId="77777777" w:rsidTr="0056420D">
        <w:trPr>
          <w:trHeight w:val="270"/>
        </w:trPr>
        <w:tc>
          <w:tcPr>
            <w:tcW w:w="3980" w:type="dxa"/>
            <w:tcBorders>
              <w:top w:val="nil"/>
              <w:left w:val="nil"/>
              <w:bottom w:val="nil"/>
              <w:right w:val="nil"/>
            </w:tcBorders>
            <w:shd w:val="clear" w:color="000000" w:fill="DBE5F1"/>
            <w:noWrap/>
            <w:vAlign w:val="center"/>
            <w:hideMark/>
          </w:tcPr>
          <w:p w14:paraId="7B65430E" w14:textId="77777777" w:rsidR="001D1818" w:rsidRPr="00241E85" w:rsidRDefault="001D1818" w:rsidP="0056420D">
            <w:pPr>
              <w:spacing w:line="240" w:lineRule="auto"/>
              <w:rPr>
                <w:rFonts w:eastAsia="Times New Roman" w:cs="Arial"/>
                <w:b/>
                <w:bCs/>
                <w:color w:val="000000"/>
                <w:lang w:eastAsia="da-DK"/>
              </w:rPr>
            </w:pPr>
            <w:r w:rsidRPr="00241E85">
              <w:rPr>
                <w:rFonts w:eastAsia="Times New Roman" w:cs="Arial"/>
                <w:b/>
                <w:bCs/>
                <w:color w:val="000000"/>
                <w:lang w:eastAsia="da-DK"/>
              </w:rPr>
              <w:t> </w:t>
            </w:r>
          </w:p>
        </w:tc>
        <w:tc>
          <w:tcPr>
            <w:tcW w:w="1140" w:type="dxa"/>
            <w:tcBorders>
              <w:top w:val="nil"/>
              <w:left w:val="nil"/>
              <w:bottom w:val="nil"/>
              <w:right w:val="nil"/>
            </w:tcBorders>
            <w:shd w:val="clear" w:color="000000" w:fill="DBE5F1"/>
            <w:noWrap/>
            <w:vAlign w:val="center"/>
            <w:hideMark/>
          </w:tcPr>
          <w:p w14:paraId="76CA6558" w14:textId="77777777" w:rsidR="001D1818" w:rsidRPr="00241E85" w:rsidRDefault="001D1818" w:rsidP="0056420D">
            <w:pPr>
              <w:spacing w:line="240" w:lineRule="auto"/>
              <w:jc w:val="right"/>
              <w:rPr>
                <w:rFonts w:eastAsia="Times New Roman" w:cs="Arial"/>
                <w:color w:val="000000"/>
                <w:lang w:eastAsia="da-DK"/>
              </w:rPr>
            </w:pPr>
            <w:r w:rsidRPr="00241E85">
              <w:rPr>
                <w:rFonts w:eastAsia="Times New Roman" w:cs="Arial"/>
                <w:color w:val="000000"/>
                <w:lang w:eastAsia="da-DK"/>
              </w:rPr>
              <w:t>2024pl</w:t>
            </w:r>
          </w:p>
        </w:tc>
        <w:tc>
          <w:tcPr>
            <w:tcW w:w="1180" w:type="dxa"/>
            <w:tcBorders>
              <w:top w:val="nil"/>
              <w:left w:val="nil"/>
              <w:bottom w:val="nil"/>
              <w:right w:val="nil"/>
            </w:tcBorders>
            <w:shd w:val="clear" w:color="000000" w:fill="DBE5F1"/>
            <w:vAlign w:val="center"/>
            <w:hideMark/>
          </w:tcPr>
          <w:p w14:paraId="4D9EEB83" w14:textId="77777777" w:rsidR="001D1818" w:rsidRPr="00241E85" w:rsidRDefault="001D1818" w:rsidP="0056420D">
            <w:pPr>
              <w:spacing w:line="240" w:lineRule="auto"/>
              <w:jc w:val="right"/>
              <w:rPr>
                <w:rFonts w:eastAsia="Times New Roman" w:cs="Arial"/>
                <w:color w:val="000000"/>
                <w:lang w:eastAsia="da-DK"/>
              </w:rPr>
            </w:pPr>
            <w:r w:rsidRPr="00241E85">
              <w:rPr>
                <w:rFonts w:eastAsia="Times New Roman" w:cs="Arial"/>
                <w:color w:val="000000"/>
                <w:lang w:eastAsia="da-DK"/>
              </w:rPr>
              <w:t>2025pl</w:t>
            </w:r>
          </w:p>
        </w:tc>
      </w:tr>
      <w:tr w:rsidR="001D1818" w:rsidRPr="00241E85" w14:paraId="2C77A333" w14:textId="77777777" w:rsidTr="0056420D">
        <w:trPr>
          <w:trHeight w:val="270"/>
        </w:trPr>
        <w:tc>
          <w:tcPr>
            <w:tcW w:w="3980" w:type="dxa"/>
            <w:tcBorders>
              <w:top w:val="single" w:sz="8" w:space="0" w:color="auto"/>
              <w:left w:val="nil"/>
              <w:bottom w:val="single" w:sz="8" w:space="0" w:color="auto"/>
              <w:right w:val="nil"/>
            </w:tcBorders>
            <w:shd w:val="clear" w:color="000000" w:fill="DBE5F1"/>
            <w:noWrap/>
            <w:vAlign w:val="center"/>
            <w:hideMark/>
          </w:tcPr>
          <w:p w14:paraId="619CC933" w14:textId="77777777" w:rsidR="001D1818" w:rsidRPr="00241E85" w:rsidRDefault="001D1818" w:rsidP="0056420D">
            <w:pPr>
              <w:spacing w:line="240" w:lineRule="auto"/>
              <w:rPr>
                <w:rFonts w:eastAsia="Times New Roman" w:cs="Arial"/>
                <w:color w:val="000000"/>
                <w:lang w:eastAsia="da-DK"/>
              </w:rPr>
            </w:pPr>
            <w:r w:rsidRPr="00241E85">
              <w:rPr>
                <w:rFonts w:eastAsia="Times New Roman" w:cs="Arial"/>
                <w:color w:val="000000"/>
                <w:lang w:eastAsia="da-DK"/>
              </w:rPr>
              <w:t>1.000 kr.</w:t>
            </w:r>
          </w:p>
        </w:tc>
        <w:tc>
          <w:tcPr>
            <w:tcW w:w="1140" w:type="dxa"/>
            <w:tcBorders>
              <w:top w:val="single" w:sz="8" w:space="0" w:color="auto"/>
              <w:left w:val="nil"/>
              <w:bottom w:val="single" w:sz="8" w:space="0" w:color="auto"/>
              <w:right w:val="nil"/>
            </w:tcBorders>
            <w:shd w:val="clear" w:color="000000" w:fill="DBE5F1"/>
            <w:noWrap/>
            <w:vAlign w:val="center"/>
            <w:hideMark/>
          </w:tcPr>
          <w:p w14:paraId="56DFA755" w14:textId="77777777" w:rsidR="001D1818" w:rsidRPr="00241E85" w:rsidRDefault="001D1818" w:rsidP="0056420D">
            <w:pPr>
              <w:spacing w:line="240" w:lineRule="auto"/>
              <w:jc w:val="right"/>
              <w:rPr>
                <w:rFonts w:eastAsia="Times New Roman" w:cs="Arial"/>
                <w:b/>
                <w:bCs/>
                <w:color w:val="000000"/>
                <w:lang w:eastAsia="da-DK"/>
              </w:rPr>
            </w:pPr>
            <w:r w:rsidRPr="00241E85">
              <w:rPr>
                <w:rFonts w:eastAsia="Times New Roman" w:cs="Arial"/>
                <w:b/>
                <w:bCs/>
                <w:lang w:eastAsia="da-DK"/>
              </w:rPr>
              <w:t>2024</w:t>
            </w:r>
          </w:p>
        </w:tc>
        <w:tc>
          <w:tcPr>
            <w:tcW w:w="1180" w:type="dxa"/>
            <w:tcBorders>
              <w:top w:val="single" w:sz="8" w:space="0" w:color="auto"/>
              <w:left w:val="nil"/>
              <w:bottom w:val="single" w:sz="8" w:space="0" w:color="auto"/>
              <w:right w:val="nil"/>
            </w:tcBorders>
            <w:shd w:val="clear" w:color="000000" w:fill="DBE5F1"/>
            <w:noWrap/>
            <w:vAlign w:val="center"/>
            <w:hideMark/>
          </w:tcPr>
          <w:p w14:paraId="5D2340BE" w14:textId="77777777" w:rsidR="001D1818" w:rsidRPr="00241E85" w:rsidRDefault="001D1818" w:rsidP="0056420D">
            <w:pPr>
              <w:spacing w:line="240" w:lineRule="auto"/>
              <w:jc w:val="right"/>
              <w:rPr>
                <w:rFonts w:eastAsia="Times New Roman" w:cs="Arial"/>
                <w:b/>
                <w:bCs/>
                <w:color w:val="000000"/>
                <w:lang w:eastAsia="da-DK"/>
              </w:rPr>
            </w:pPr>
            <w:r w:rsidRPr="00241E85">
              <w:rPr>
                <w:rFonts w:eastAsia="Times New Roman" w:cs="Arial"/>
                <w:b/>
                <w:bCs/>
                <w:lang w:eastAsia="da-DK"/>
              </w:rPr>
              <w:t>2025</w:t>
            </w:r>
          </w:p>
        </w:tc>
      </w:tr>
      <w:tr w:rsidR="001D1818" w:rsidRPr="00241E85" w14:paraId="31218691" w14:textId="77777777" w:rsidTr="0056420D">
        <w:trPr>
          <w:trHeight w:val="135"/>
        </w:trPr>
        <w:tc>
          <w:tcPr>
            <w:tcW w:w="3980" w:type="dxa"/>
            <w:tcBorders>
              <w:top w:val="nil"/>
              <w:left w:val="nil"/>
              <w:bottom w:val="nil"/>
              <w:right w:val="nil"/>
            </w:tcBorders>
            <w:shd w:val="clear" w:color="000000" w:fill="DBE5F1"/>
            <w:noWrap/>
            <w:vAlign w:val="center"/>
            <w:hideMark/>
          </w:tcPr>
          <w:p w14:paraId="04BC9DC5" w14:textId="77777777" w:rsidR="001D1818" w:rsidRPr="00241E85" w:rsidRDefault="001D1818" w:rsidP="0056420D">
            <w:pPr>
              <w:spacing w:line="240" w:lineRule="auto"/>
              <w:rPr>
                <w:rFonts w:eastAsia="Times New Roman" w:cs="Arial"/>
                <w:b/>
                <w:bCs/>
                <w:color w:val="000000"/>
                <w:lang w:eastAsia="da-DK"/>
              </w:rPr>
            </w:pPr>
            <w:r w:rsidRPr="00241E85">
              <w:rPr>
                <w:rFonts w:eastAsia="Times New Roman" w:cs="Arial"/>
                <w:b/>
                <w:bCs/>
                <w:color w:val="000000"/>
                <w:lang w:eastAsia="da-DK"/>
              </w:rPr>
              <w:t> </w:t>
            </w:r>
          </w:p>
        </w:tc>
        <w:tc>
          <w:tcPr>
            <w:tcW w:w="1140" w:type="dxa"/>
            <w:tcBorders>
              <w:top w:val="nil"/>
              <w:left w:val="nil"/>
              <w:bottom w:val="nil"/>
              <w:right w:val="nil"/>
            </w:tcBorders>
            <w:shd w:val="clear" w:color="000000" w:fill="DBE5F1"/>
            <w:noWrap/>
            <w:vAlign w:val="center"/>
            <w:hideMark/>
          </w:tcPr>
          <w:p w14:paraId="52FD318F" w14:textId="77777777" w:rsidR="001D1818" w:rsidRPr="00241E85" w:rsidRDefault="001D1818" w:rsidP="0056420D">
            <w:pPr>
              <w:spacing w:line="240" w:lineRule="auto"/>
              <w:rPr>
                <w:rFonts w:eastAsia="Times New Roman" w:cs="Arial"/>
                <w:color w:val="000000"/>
                <w:lang w:eastAsia="da-DK"/>
              </w:rPr>
            </w:pPr>
            <w:r w:rsidRPr="00241E85">
              <w:rPr>
                <w:rFonts w:eastAsia="Times New Roman" w:cs="Arial"/>
                <w:color w:val="000000"/>
                <w:lang w:eastAsia="da-DK"/>
              </w:rPr>
              <w:t> </w:t>
            </w:r>
          </w:p>
        </w:tc>
        <w:tc>
          <w:tcPr>
            <w:tcW w:w="1180" w:type="dxa"/>
            <w:tcBorders>
              <w:top w:val="nil"/>
              <w:left w:val="nil"/>
              <w:bottom w:val="nil"/>
              <w:right w:val="nil"/>
            </w:tcBorders>
            <w:shd w:val="clear" w:color="000000" w:fill="DBE5F1"/>
            <w:vAlign w:val="center"/>
            <w:hideMark/>
          </w:tcPr>
          <w:p w14:paraId="56630E1E" w14:textId="77777777" w:rsidR="001D1818" w:rsidRPr="00241E85" w:rsidRDefault="001D1818" w:rsidP="0056420D">
            <w:pPr>
              <w:spacing w:line="240" w:lineRule="auto"/>
              <w:jc w:val="right"/>
              <w:rPr>
                <w:rFonts w:eastAsia="Times New Roman" w:cs="Arial"/>
                <w:color w:val="000000"/>
                <w:lang w:eastAsia="da-DK"/>
              </w:rPr>
            </w:pPr>
            <w:r w:rsidRPr="00241E85">
              <w:rPr>
                <w:rFonts w:eastAsia="Times New Roman" w:cs="Arial"/>
                <w:color w:val="000000"/>
                <w:lang w:eastAsia="da-DK"/>
              </w:rPr>
              <w:t> </w:t>
            </w:r>
          </w:p>
        </w:tc>
      </w:tr>
      <w:tr w:rsidR="001D1818" w:rsidRPr="00241E85" w14:paraId="5A1C2935" w14:textId="77777777" w:rsidTr="0056420D">
        <w:trPr>
          <w:trHeight w:val="270"/>
        </w:trPr>
        <w:tc>
          <w:tcPr>
            <w:tcW w:w="3980" w:type="dxa"/>
            <w:tcBorders>
              <w:top w:val="nil"/>
              <w:left w:val="nil"/>
              <w:bottom w:val="single" w:sz="8" w:space="0" w:color="auto"/>
              <w:right w:val="nil"/>
            </w:tcBorders>
            <w:shd w:val="clear" w:color="000000" w:fill="DBE5F1"/>
            <w:noWrap/>
            <w:vAlign w:val="center"/>
            <w:hideMark/>
          </w:tcPr>
          <w:p w14:paraId="6E343134" w14:textId="77777777" w:rsidR="001D1818" w:rsidRPr="00241E85" w:rsidRDefault="001D1818" w:rsidP="0056420D">
            <w:pPr>
              <w:spacing w:line="240" w:lineRule="auto"/>
              <w:rPr>
                <w:rFonts w:eastAsia="Times New Roman" w:cs="Arial"/>
                <w:color w:val="000000"/>
                <w:lang w:eastAsia="da-DK"/>
              </w:rPr>
            </w:pPr>
            <w:r w:rsidRPr="00241E85">
              <w:rPr>
                <w:rFonts w:eastAsia="Times New Roman" w:cs="Arial"/>
                <w:color w:val="000000"/>
                <w:lang w:eastAsia="da-DK"/>
              </w:rPr>
              <w:t>Samlet ramme</w:t>
            </w:r>
          </w:p>
        </w:tc>
        <w:tc>
          <w:tcPr>
            <w:tcW w:w="1140" w:type="dxa"/>
            <w:tcBorders>
              <w:top w:val="nil"/>
              <w:left w:val="nil"/>
              <w:bottom w:val="single" w:sz="8" w:space="0" w:color="auto"/>
              <w:right w:val="nil"/>
            </w:tcBorders>
            <w:shd w:val="clear" w:color="000000" w:fill="DBE5F1"/>
            <w:noWrap/>
            <w:vAlign w:val="center"/>
            <w:hideMark/>
          </w:tcPr>
          <w:p w14:paraId="6350917F" w14:textId="77777777" w:rsidR="001D1818" w:rsidRPr="00241E85" w:rsidRDefault="001D1818" w:rsidP="0056420D">
            <w:pPr>
              <w:spacing w:line="240" w:lineRule="auto"/>
              <w:jc w:val="right"/>
              <w:rPr>
                <w:rFonts w:eastAsia="Times New Roman" w:cs="Arial"/>
                <w:color w:val="000000"/>
                <w:lang w:eastAsia="da-DK"/>
              </w:rPr>
            </w:pPr>
            <w:r w:rsidRPr="00241E85">
              <w:rPr>
                <w:rFonts w:eastAsia="Times New Roman" w:cs="Arial"/>
                <w:color w:val="000000"/>
                <w:lang w:eastAsia="da-DK"/>
              </w:rPr>
              <w:t>672.211</w:t>
            </w:r>
          </w:p>
        </w:tc>
        <w:tc>
          <w:tcPr>
            <w:tcW w:w="1180" w:type="dxa"/>
            <w:tcBorders>
              <w:top w:val="nil"/>
              <w:left w:val="nil"/>
              <w:bottom w:val="single" w:sz="8" w:space="0" w:color="auto"/>
              <w:right w:val="nil"/>
            </w:tcBorders>
            <w:shd w:val="clear" w:color="000000" w:fill="DBE5F1"/>
            <w:noWrap/>
            <w:vAlign w:val="center"/>
            <w:hideMark/>
          </w:tcPr>
          <w:p w14:paraId="24EAADD9" w14:textId="77777777" w:rsidR="001D1818" w:rsidRPr="00241E85" w:rsidRDefault="001D1818" w:rsidP="0056420D">
            <w:pPr>
              <w:spacing w:line="240" w:lineRule="auto"/>
              <w:jc w:val="right"/>
              <w:rPr>
                <w:rFonts w:eastAsia="Times New Roman" w:cs="Arial"/>
                <w:color w:val="000000"/>
                <w:lang w:eastAsia="da-DK"/>
              </w:rPr>
            </w:pPr>
            <w:r w:rsidRPr="00241E85">
              <w:rPr>
                <w:rFonts w:eastAsia="Times New Roman" w:cs="Arial"/>
                <w:color w:val="000000"/>
                <w:lang w:eastAsia="da-DK"/>
              </w:rPr>
              <w:t>688.093</w:t>
            </w:r>
          </w:p>
        </w:tc>
      </w:tr>
      <w:tr w:rsidR="001D1818" w:rsidRPr="00241E85" w14:paraId="780197E7" w14:textId="77777777" w:rsidTr="0056420D">
        <w:trPr>
          <w:trHeight w:val="270"/>
        </w:trPr>
        <w:tc>
          <w:tcPr>
            <w:tcW w:w="3980" w:type="dxa"/>
            <w:tcBorders>
              <w:top w:val="nil"/>
              <w:left w:val="nil"/>
              <w:bottom w:val="dashed" w:sz="8" w:space="0" w:color="auto"/>
              <w:right w:val="nil"/>
            </w:tcBorders>
            <w:shd w:val="clear" w:color="000000" w:fill="DBE5F1"/>
            <w:noWrap/>
            <w:vAlign w:val="center"/>
            <w:hideMark/>
          </w:tcPr>
          <w:p w14:paraId="0565CC1F" w14:textId="77777777" w:rsidR="001D1818" w:rsidRPr="00241E85" w:rsidRDefault="001D1818" w:rsidP="0056420D">
            <w:pPr>
              <w:spacing w:line="240" w:lineRule="auto"/>
              <w:rPr>
                <w:rFonts w:eastAsia="Times New Roman" w:cs="Arial"/>
                <w:color w:val="000000"/>
                <w:lang w:eastAsia="da-DK"/>
              </w:rPr>
            </w:pPr>
            <w:r w:rsidRPr="00241E85">
              <w:rPr>
                <w:rFonts w:eastAsia="Times New Roman" w:cs="Arial"/>
                <w:color w:val="000000"/>
                <w:lang w:eastAsia="da-DK"/>
              </w:rPr>
              <w:t>Administrative besparelser</w:t>
            </w:r>
          </w:p>
        </w:tc>
        <w:tc>
          <w:tcPr>
            <w:tcW w:w="1140" w:type="dxa"/>
            <w:tcBorders>
              <w:top w:val="nil"/>
              <w:left w:val="nil"/>
              <w:bottom w:val="dashed" w:sz="8" w:space="0" w:color="auto"/>
              <w:right w:val="nil"/>
            </w:tcBorders>
            <w:shd w:val="clear" w:color="000000" w:fill="DBE5F1"/>
            <w:noWrap/>
            <w:vAlign w:val="center"/>
            <w:hideMark/>
          </w:tcPr>
          <w:p w14:paraId="2D546A06" w14:textId="77777777" w:rsidR="001D1818" w:rsidRPr="00241E85" w:rsidRDefault="001D1818" w:rsidP="0056420D">
            <w:pPr>
              <w:spacing w:line="240" w:lineRule="auto"/>
              <w:jc w:val="right"/>
              <w:rPr>
                <w:rFonts w:eastAsia="Times New Roman" w:cs="Arial"/>
                <w:color w:val="000000"/>
                <w:lang w:eastAsia="da-DK"/>
              </w:rPr>
            </w:pPr>
            <w:r w:rsidRPr="00241E85">
              <w:rPr>
                <w:rFonts w:eastAsia="Times New Roman" w:cs="Arial"/>
                <w:lang w:eastAsia="da-DK"/>
              </w:rPr>
              <w:t>3.140</w:t>
            </w:r>
          </w:p>
        </w:tc>
        <w:tc>
          <w:tcPr>
            <w:tcW w:w="1180" w:type="dxa"/>
            <w:tcBorders>
              <w:top w:val="nil"/>
              <w:left w:val="nil"/>
              <w:bottom w:val="dashed" w:sz="8" w:space="0" w:color="auto"/>
              <w:right w:val="nil"/>
            </w:tcBorders>
            <w:shd w:val="clear" w:color="000000" w:fill="DBE5F1"/>
            <w:noWrap/>
            <w:vAlign w:val="center"/>
            <w:hideMark/>
          </w:tcPr>
          <w:p w14:paraId="1A743AD4" w14:textId="77777777" w:rsidR="001D1818" w:rsidRPr="00241E85" w:rsidRDefault="001D1818" w:rsidP="0056420D">
            <w:pPr>
              <w:spacing w:line="240" w:lineRule="auto"/>
              <w:jc w:val="right"/>
              <w:rPr>
                <w:rFonts w:eastAsia="Times New Roman" w:cs="Arial"/>
                <w:color w:val="000000"/>
                <w:lang w:eastAsia="da-DK"/>
              </w:rPr>
            </w:pPr>
            <w:r w:rsidRPr="00241E85">
              <w:rPr>
                <w:rFonts w:eastAsia="Times New Roman" w:cs="Arial"/>
                <w:lang w:eastAsia="da-DK"/>
              </w:rPr>
              <w:t>4.435</w:t>
            </w:r>
          </w:p>
        </w:tc>
      </w:tr>
      <w:tr w:rsidR="001D1818" w:rsidRPr="00241E85" w14:paraId="27CEF261" w14:textId="77777777" w:rsidTr="0056420D">
        <w:trPr>
          <w:trHeight w:val="255"/>
        </w:trPr>
        <w:tc>
          <w:tcPr>
            <w:tcW w:w="3980" w:type="dxa"/>
            <w:tcBorders>
              <w:top w:val="nil"/>
              <w:left w:val="nil"/>
              <w:bottom w:val="nil"/>
              <w:right w:val="nil"/>
            </w:tcBorders>
            <w:shd w:val="clear" w:color="000000" w:fill="DBE5F1"/>
            <w:noWrap/>
            <w:vAlign w:val="center"/>
            <w:hideMark/>
          </w:tcPr>
          <w:p w14:paraId="702D5E4B" w14:textId="77777777" w:rsidR="001D1818" w:rsidRPr="00241E85" w:rsidRDefault="001D1818" w:rsidP="0056420D">
            <w:pPr>
              <w:spacing w:line="240" w:lineRule="auto"/>
              <w:rPr>
                <w:rFonts w:eastAsia="Times New Roman" w:cs="Arial"/>
                <w:color w:val="000000"/>
                <w:lang w:eastAsia="da-DK"/>
              </w:rPr>
            </w:pPr>
            <w:r w:rsidRPr="00241E85">
              <w:rPr>
                <w:rFonts w:eastAsia="Times New Roman" w:cs="Arial"/>
                <w:color w:val="000000"/>
                <w:lang w:eastAsia="da-DK"/>
              </w:rPr>
              <w:t>Samlede udgifter decentralt</w:t>
            </w:r>
          </w:p>
        </w:tc>
        <w:tc>
          <w:tcPr>
            <w:tcW w:w="1140" w:type="dxa"/>
            <w:tcBorders>
              <w:top w:val="nil"/>
              <w:left w:val="nil"/>
              <w:bottom w:val="nil"/>
              <w:right w:val="nil"/>
            </w:tcBorders>
            <w:shd w:val="clear" w:color="000000" w:fill="DBE5F1"/>
            <w:noWrap/>
            <w:vAlign w:val="center"/>
            <w:hideMark/>
          </w:tcPr>
          <w:p w14:paraId="17875A4F" w14:textId="77777777" w:rsidR="001D1818" w:rsidRPr="00241E85" w:rsidRDefault="001D1818" w:rsidP="0056420D">
            <w:pPr>
              <w:spacing w:line="240" w:lineRule="auto"/>
              <w:jc w:val="right"/>
              <w:rPr>
                <w:rFonts w:eastAsia="Times New Roman" w:cs="Arial"/>
                <w:color w:val="000000"/>
                <w:lang w:eastAsia="da-DK"/>
              </w:rPr>
            </w:pPr>
            <w:r w:rsidRPr="00241E85">
              <w:rPr>
                <w:rFonts w:eastAsia="Times New Roman" w:cs="Arial"/>
                <w:lang w:eastAsia="da-DK"/>
              </w:rPr>
              <w:t>637.554</w:t>
            </w:r>
          </w:p>
        </w:tc>
        <w:tc>
          <w:tcPr>
            <w:tcW w:w="1180" w:type="dxa"/>
            <w:tcBorders>
              <w:top w:val="nil"/>
              <w:left w:val="nil"/>
              <w:bottom w:val="nil"/>
              <w:right w:val="nil"/>
            </w:tcBorders>
            <w:shd w:val="clear" w:color="000000" w:fill="DBE5F1"/>
            <w:noWrap/>
            <w:vAlign w:val="center"/>
            <w:hideMark/>
          </w:tcPr>
          <w:p w14:paraId="3EA0544D" w14:textId="77777777" w:rsidR="001D1818" w:rsidRPr="00241E85" w:rsidRDefault="001D1818" w:rsidP="0056420D">
            <w:pPr>
              <w:spacing w:line="240" w:lineRule="auto"/>
              <w:jc w:val="right"/>
              <w:rPr>
                <w:rFonts w:eastAsia="Times New Roman" w:cs="Arial"/>
                <w:color w:val="000000"/>
                <w:lang w:eastAsia="da-DK"/>
              </w:rPr>
            </w:pPr>
            <w:r w:rsidRPr="00241E85">
              <w:rPr>
                <w:rFonts w:eastAsia="Times New Roman" w:cs="Arial"/>
                <w:lang w:eastAsia="da-DK"/>
              </w:rPr>
              <w:t>652.339</w:t>
            </w:r>
          </w:p>
        </w:tc>
      </w:tr>
      <w:tr w:rsidR="001D1818" w:rsidRPr="00241E85" w14:paraId="681ADE89" w14:textId="77777777" w:rsidTr="0056420D">
        <w:trPr>
          <w:trHeight w:val="255"/>
        </w:trPr>
        <w:tc>
          <w:tcPr>
            <w:tcW w:w="3980" w:type="dxa"/>
            <w:tcBorders>
              <w:top w:val="nil"/>
              <w:left w:val="nil"/>
              <w:bottom w:val="nil"/>
              <w:right w:val="nil"/>
            </w:tcBorders>
            <w:shd w:val="clear" w:color="000000" w:fill="DBE5F1"/>
            <w:noWrap/>
            <w:vAlign w:val="center"/>
            <w:hideMark/>
          </w:tcPr>
          <w:p w14:paraId="49353600" w14:textId="77777777" w:rsidR="001D1818" w:rsidRPr="00241E85" w:rsidRDefault="001D1818" w:rsidP="0056420D">
            <w:pPr>
              <w:spacing w:line="240" w:lineRule="auto"/>
              <w:rPr>
                <w:rFonts w:eastAsia="Times New Roman" w:cs="Arial"/>
                <w:i/>
                <w:iCs/>
                <w:color w:val="000000"/>
                <w:lang w:eastAsia="da-DK"/>
              </w:rPr>
            </w:pPr>
            <w:r w:rsidRPr="00241E85">
              <w:rPr>
                <w:rFonts w:eastAsia="Times New Roman" w:cs="Arial"/>
                <w:i/>
                <w:iCs/>
                <w:color w:val="000000"/>
                <w:lang w:eastAsia="da-DK"/>
              </w:rPr>
              <w:t>- heraf administrative besparelser decentralt</w:t>
            </w:r>
          </w:p>
        </w:tc>
        <w:tc>
          <w:tcPr>
            <w:tcW w:w="1140" w:type="dxa"/>
            <w:tcBorders>
              <w:top w:val="nil"/>
              <w:left w:val="nil"/>
              <w:bottom w:val="nil"/>
              <w:right w:val="nil"/>
            </w:tcBorders>
            <w:shd w:val="clear" w:color="000000" w:fill="DBE5F1"/>
            <w:noWrap/>
            <w:vAlign w:val="center"/>
            <w:hideMark/>
          </w:tcPr>
          <w:p w14:paraId="196571C6" w14:textId="77777777" w:rsidR="001D1818" w:rsidRPr="008C574B" w:rsidRDefault="001D1818" w:rsidP="0056420D">
            <w:pPr>
              <w:spacing w:line="240" w:lineRule="auto"/>
              <w:jc w:val="right"/>
              <w:rPr>
                <w:rFonts w:eastAsia="Times New Roman" w:cs="Arial"/>
                <w:i/>
                <w:iCs/>
                <w:color w:val="000000"/>
                <w:lang w:eastAsia="da-DK"/>
              </w:rPr>
            </w:pPr>
            <w:r w:rsidRPr="008C574B">
              <w:rPr>
                <w:rFonts w:eastAsia="Times New Roman" w:cs="Arial"/>
                <w:i/>
                <w:iCs/>
                <w:lang w:eastAsia="da-DK"/>
              </w:rPr>
              <w:t>2.788</w:t>
            </w:r>
          </w:p>
        </w:tc>
        <w:tc>
          <w:tcPr>
            <w:tcW w:w="1180" w:type="dxa"/>
            <w:tcBorders>
              <w:top w:val="nil"/>
              <w:left w:val="nil"/>
              <w:bottom w:val="nil"/>
              <w:right w:val="nil"/>
            </w:tcBorders>
            <w:shd w:val="clear" w:color="000000" w:fill="DBE5F1"/>
            <w:noWrap/>
            <w:vAlign w:val="center"/>
            <w:hideMark/>
          </w:tcPr>
          <w:p w14:paraId="63CA6F40" w14:textId="77777777" w:rsidR="001D1818" w:rsidRPr="008C574B" w:rsidRDefault="001D1818" w:rsidP="0056420D">
            <w:pPr>
              <w:spacing w:line="240" w:lineRule="auto"/>
              <w:jc w:val="right"/>
              <w:rPr>
                <w:rFonts w:eastAsia="Times New Roman" w:cs="Arial"/>
                <w:i/>
                <w:iCs/>
                <w:color w:val="000000"/>
                <w:lang w:eastAsia="da-DK"/>
              </w:rPr>
            </w:pPr>
            <w:r w:rsidRPr="008C574B">
              <w:rPr>
                <w:rFonts w:eastAsia="Times New Roman" w:cs="Arial"/>
                <w:i/>
                <w:iCs/>
                <w:color w:val="000000"/>
                <w:lang w:eastAsia="da-DK"/>
              </w:rPr>
              <w:t>3.938</w:t>
            </w:r>
          </w:p>
        </w:tc>
      </w:tr>
      <w:tr w:rsidR="001D1818" w:rsidRPr="00241E85" w14:paraId="3D3C9FBB" w14:textId="77777777" w:rsidTr="0056420D">
        <w:trPr>
          <w:trHeight w:val="255"/>
        </w:trPr>
        <w:tc>
          <w:tcPr>
            <w:tcW w:w="3980" w:type="dxa"/>
            <w:tcBorders>
              <w:top w:val="nil"/>
              <w:left w:val="nil"/>
              <w:bottom w:val="nil"/>
              <w:right w:val="nil"/>
            </w:tcBorders>
            <w:shd w:val="clear" w:color="000000" w:fill="DBE5F1"/>
            <w:noWrap/>
            <w:vAlign w:val="center"/>
            <w:hideMark/>
          </w:tcPr>
          <w:p w14:paraId="69D82A60" w14:textId="77777777" w:rsidR="001D1818" w:rsidRPr="00241E85" w:rsidRDefault="001D1818" w:rsidP="0056420D">
            <w:pPr>
              <w:spacing w:line="240" w:lineRule="auto"/>
              <w:rPr>
                <w:rFonts w:eastAsia="Times New Roman" w:cs="Arial"/>
                <w:color w:val="000000"/>
                <w:lang w:eastAsia="da-DK"/>
              </w:rPr>
            </w:pPr>
            <w:r w:rsidRPr="00241E85">
              <w:rPr>
                <w:rFonts w:eastAsia="Times New Roman" w:cs="Arial"/>
                <w:color w:val="000000"/>
                <w:lang w:eastAsia="da-DK"/>
              </w:rPr>
              <w:t>Samlede udgifter centralt</w:t>
            </w:r>
          </w:p>
        </w:tc>
        <w:tc>
          <w:tcPr>
            <w:tcW w:w="1140" w:type="dxa"/>
            <w:tcBorders>
              <w:top w:val="nil"/>
              <w:left w:val="nil"/>
              <w:bottom w:val="nil"/>
              <w:right w:val="nil"/>
            </w:tcBorders>
            <w:shd w:val="clear" w:color="000000" w:fill="DBE5F1"/>
            <w:noWrap/>
            <w:vAlign w:val="center"/>
            <w:hideMark/>
          </w:tcPr>
          <w:p w14:paraId="24DE8157" w14:textId="77777777" w:rsidR="001D1818" w:rsidRPr="00241E85" w:rsidRDefault="001D1818" w:rsidP="0056420D">
            <w:pPr>
              <w:spacing w:line="240" w:lineRule="auto"/>
              <w:jc w:val="right"/>
              <w:rPr>
                <w:rFonts w:eastAsia="Times New Roman" w:cs="Arial"/>
                <w:color w:val="000000"/>
                <w:lang w:eastAsia="da-DK"/>
              </w:rPr>
            </w:pPr>
            <w:r w:rsidRPr="00241E85">
              <w:rPr>
                <w:rFonts w:eastAsia="Times New Roman" w:cs="Arial"/>
                <w:lang w:eastAsia="da-DK"/>
              </w:rPr>
              <w:t>34.657</w:t>
            </w:r>
          </w:p>
        </w:tc>
        <w:tc>
          <w:tcPr>
            <w:tcW w:w="1180" w:type="dxa"/>
            <w:tcBorders>
              <w:top w:val="nil"/>
              <w:left w:val="nil"/>
              <w:bottom w:val="nil"/>
              <w:right w:val="nil"/>
            </w:tcBorders>
            <w:shd w:val="clear" w:color="000000" w:fill="DBE5F1"/>
            <w:noWrap/>
            <w:vAlign w:val="center"/>
            <w:hideMark/>
          </w:tcPr>
          <w:p w14:paraId="07149FA1" w14:textId="77777777" w:rsidR="001D1818" w:rsidRPr="00241E85" w:rsidRDefault="001D1818" w:rsidP="0056420D">
            <w:pPr>
              <w:spacing w:line="240" w:lineRule="auto"/>
              <w:jc w:val="right"/>
              <w:rPr>
                <w:rFonts w:eastAsia="Times New Roman" w:cs="Arial"/>
                <w:color w:val="000000"/>
                <w:lang w:eastAsia="da-DK"/>
              </w:rPr>
            </w:pPr>
            <w:r w:rsidRPr="00241E85">
              <w:rPr>
                <w:rFonts w:eastAsia="Times New Roman" w:cs="Arial"/>
                <w:lang w:eastAsia="da-DK"/>
              </w:rPr>
              <w:t>35.754</w:t>
            </w:r>
          </w:p>
        </w:tc>
      </w:tr>
      <w:tr w:rsidR="001D1818" w:rsidRPr="00241E85" w14:paraId="096B5D87" w14:textId="77777777" w:rsidTr="0056420D">
        <w:trPr>
          <w:trHeight w:val="270"/>
        </w:trPr>
        <w:tc>
          <w:tcPr>
            <w:tcW w:w="3980" w:type="dxa"/>
            <w:tcBorders>
              <w:top w:val="nil"/>
              <w:left w:val="nil"/>
              <w:bottom w:val="single" w:sz="8" w:space="0" w:color="auto"/>
              <w:right w:val="nil"/>
            </w:tcBorders>
            <w:shd w:val="clear" w:color="000000" w:fill="DBE5F1"/>
            <w:noWrap/>
            <w:vAlign w:val="center"/>
            <w:hideMark/>
          </w:tcPr>
          <w:p w14:paraId="59C8A445" w14:textId="77777777" w:rsidR="001D1818" w:rsidRPr="00241E85" w:rsidRDefault="001D1818" w:rsidP="0056420D">
            <w:pPr>
              <w:spacing w:line="240" w:lineRule="auto"/>
              <w:rPr>
                <w:rFonts w:eastAsia="Times New Roman" w:cs="Arial"/>
                <w:i/>
                <w:iCs/>
                <w:color w:val="000000"/>
                <w:lang w:eastAsia="da-DK"/>
              </w:rPr>
            </w:pPr>
            <w:r w:rsidRPr="00241E85">
              <w:rPr>
                <w:rFonts w:eastAsia="Times New Roman" w:cs="Arial"/>
                <w:i/>
                <w:iCs/>
                <w:color w:val="000000"/>
                <w:lang w:eastAsia="da-DK"/>
              </w:rPr>
              <w:t>- heraf administrative besparelser centralt</w:t>
            </w:r>
          </w:p>
        </w:tc>
        <w:tc>
          <w:tcPr>
            <w:tcW w:w="1140" w:type="dxa"/>
            <w:tcBorders>
              <w:top w:val="nil"/>
              <w:left w:val="nil"/>
              <w:bottom w:val="single" w:sz="8" w:space="0" w:color="auto"/>
              <w:right w:val="nil"/>
            </w:tcBorders>
            <w:shd w:val="clear" w:color="000000" w:fill="DBE5F1"/>
            <w:noWrap/>
            <w:vAlign w:val="center"/>
            <w:hideMark/>
          </w:tcPr>
          <w:p w14:paraId="0152D505" w14:textId="77777777" w:rsidR="001D1818" w:rsidRPr="008C574B" w:rsidRDefault="001D1818" w:rsidP="0056420D">
            <w:pPr>
              <w:spacing w:line="240" w:lineRule="auto"/>
              <w:jc w:val="right"/>
              <w:rPr>
                <w:rFonts w:eastAsia="Times New Roman" w:cs="Arial"/>
                <w:i/>
                <w:iCs/>
                <w:color w:val="000000"/>
                <w:lang w:eastAsia="da-DK"/>
              </w:rPr>
            </w:pPr>
            <w:r w:rsidRPr="008C574B">
              <w:rPr>
                <w:rFonts w:eastAsia="Times New Roman" w:cs="Arial"/>
                <w:i/>
                <w:iCs/>
                <w:color w:val="000000"/>
                <w:lang w:eastAsia="da-DK"/>
              </w:rPr>
              <w:t>352</w:t>
            </w:r>
          </w:p>
        </w:tc>
        <w:tc>
          <w:tcPr>
            <w:tcW w:w="1180" w:type="dxa"/>
            <w:tcBorders>
              <w:top w:val="nil"/>
              <w:left w:val="nil"/>
              <w:bottom w:val="single" w:sz="8" w:space="0" w:color="auto"/>
              <w:right w:val="nil"/>
            </w:tcBorders>
            <w:shd w:val="clear" w:color="000000" w:fill="DBE5F1"/>
            <w:noWrap/>
            <w:vAlign w:val="center"/>
            <w:hideMark/>
          </w:tcPr>
          <w:p w14:paraId="61C2CE25" w14:textId="77777777" w:rsidR="001D1818" w:rsidRPr="008C574B" w:rsidRDefault="001D1818" w:rsidP="0056420D">
            <w:pPr>
              <w:spacing w:line="240" w:lineRule="auto"/>
              <w:jc w:val="right"/>
              <w:rPr>
                <w:rFonts w:eastAsia="Times New Roman" w:cs="Arial"/>
                <w:i/>
                <w:iCs/>
                <w:color w:val="000000"/>
                <w:lang w:eastAsia="da-DK"/>
              </w:rPr>
            </w:pPr>
            <w:r w:rsidRPr="008C574B">
              <w:rPr>
                <w:rFonts w:eastAsia="Times New Roman" w:cs="Arial"/>
                <w:i/>
                <w:iCs/>
                <w:lang w:eastAsia="da-DK"/>
              </w:rPr>
              <w:t>497</w:t>
            </w:r>
          </w:p>
        </w:tc>
      </w:tr>
    </w:tbl>
    <w:p w14:paraId="76EFBB30" w14:textId="77777777" w:rsidR="001D1818" w:rsidRDefault="001D1818" w:rsidP="001D1818">
      <w:pPr>
        <w:spacing w:line="240" w:lineRule="auto"/>
        <w:rPr>
          <w:rFonts w:eastAsia="Times New Roman" w:cs="Arial"/>
          <w:color w:val="000000"/>
          <w:lang w:eastAsia="da-DK"/>
        </w:rPr>
      </w:pPr>
    </w:p>
    <w:p w14:paraId="65ED14A6" w14:textId="77777777" w:rsidR="001D1818" w:rsidRDefault="001D1818" w:rsidP="001D1818">
      <w:r>
        <w:t>Bemærk at MKB ikke kan opgøre den samlede udgift til administration.</w:t>
      </w:r>
    </w:p>
    <w:p w14:paraId="533E1A04" w14:textId="77777777" w:rsidR="001D1818" w:rsidRDefault="001D1818" w:rsidP="001D1818"/>
    <w:p w14:paraId="7D21FDA0" w14:textId="7D4D2DFB" w:rsidR="001D1818" w:rsidRDefault="001D1818" w:rsidP="001D1818">
      <w:r>
        <w:t>Tal er indsat i PL 2024 og 2025. MKB mener det er mest hensigtsmæssigt at oplyse tal i årets priser for at man kan genfinde beløbene i økonomisystemet. Den administrative besparelse er oplyst akkumuleret, så det nye trin i 2025 er lagt oven i besparelsen fra 2024.</w:t>
      </w:r>
    </w:p>
    <w:p w14:paraId="1C0BD53E" w14:textId="77777777" w:rsidR="001D1818" w:rsidRDefault="001D1818" w:rsidP="001D1818">
      <w:pPr>
        <w:pStyle w:val="Overskrift1"/>
        <w:jc w:val="both"/>
      </w:pPr>
      <w:r>
        <w:lastRenderedPageBreak/>
        <w:t>Bilag 5. Teknik og Miljø</w:t>
      </w:r>
    </w:p>
    <w:p w14:paraId="25EC6A50" w14:textId="77777777" w:rsidR="001D1818" w:rsidRPr="0098384D" w:rsidRDefault="001D1818" w:rsidP="001D1818">
      <w:r w:rsidRPr="0098384D">
        <w:t>De administrative besparelser i 2024 og 2025 er udmøntet som en del af de samlet besparelser der blev vedtaget i forbindelse med budget 2024. Med andre ord, så fandt MTM allerede besparelsen for 2025 med besparelserne i 2024, dog var der forskellige indfasning af nogle af besparelserne, hvilket giver udsvingene i procenterne jf. nedenfor.</w:t>
      </w:r>
    </w:p>
    <w:p w14:paraId="79B742A5" w14:textId="77777777" w:rsidR="001D1818" w:rsidRPr="0098384D" w:rsidRDefault="001D1818" w:rsidP="001D1818"/>
    <w:p w14:paraId="0684AE01" w14:textId="77777777" w:rsidR="001D1818" w:rsidRPr="0098384D" w:rsidRDefault="001D1818" w:rsidP="001D1818">
      <w:r w:rsidRPr="0098384D">
        <w:t>Af de samlede administrative besparelser som blev givet til MTM i budgetforliget i 2024-2025, blev det besluttet, at Ejendomme blev friholdt.</w:t>
      </w:r>
    </w:p>
    <w:p w14:paraId="2B140BCB" w14:textId="77777777" w:rsidR="001D1818" w:rsidRPr="0098384D" w:rsidRDefault="001D1818" w:rsidP="001D1818">
      <w:r w:rsidRPr="0098384D">
        <w:t>(sektor 2.51). Kollektiv Trafik (sektor 2.13) blev generelt friholdt for besparelser i budgetforliget.</w:t>
      </w:r>
    </w:p>
    <w:p w14:paraId="3B1543C3" w14:textId="77777777" w:rsidR="001D1818" w:rsidRPr="0098384D" w:rsidRDefault="001D1818" w:rsidP="001D1818"/>
    <w:p w14:paraId="39D56196" w14:textId="77777777" w:rsidR="001D1818" w:rsidRDefault="001D1818" w:rsidP="001D1818">
      <w:r w:rsidRPr="0098384D">
        <w:t>De administrative besparelser indgår derfor som en del af det sparekatalog, som blev besluttet i relation til budgetforlig 2024. Besparelserne er tilnærmelsesvis fordelt relativt efter områdernes nettoudgiftsbudget.</w:t>
      </w:r>
      <w:r>
        <w:t xml:space="preserve"> </w:t>
      </w:r>
    </w:p>
    <w:p w14:paraId="4A0D97DA" w14:textId="77777777" w:rsidR="001D1818" w:rsidRDefault="001D1818" w:rsidP="001D1818"/>
    <w:p w14:paraId="45F9BBE7" w14:textId="4ED94693" w:rsidR="001D1818" w:rsidRDefault="001D1818" w:rsidP="00365765">
      <w:pPr>
        <w:pStyle w:val="TabeloverskriftII"/>
        <w:ind w:left="0"/>
      </w:pPr>
      <w:r>
        <w:t xml:space="preserve">Tabel 1: Udmøntning af administrative besparelser – </w:t>
      </w:r>
      <w:r w:rsidR="00365765">
        <w:t>Teknik og Miljø</w:t>
      </w:r>
    </w:p>
    <w:tbl>
      <w:tblPr>
        <w:tblW w:w="7942" w:type="dxa"/>
        <w:shd w:val="clear" w:color="auto" w:fill="DBE5F1" w:themeFill="accent1" w:themeFillTint="33"/>
        <w:tblCellMar>
          <w:left w:w="70" w:type="dxa"/>
          <w:right w:w="70" w:type="dxa"/>
        </w:tblCellMar>
        <w:tblLook w:val="04A0" w:firstRow="1" w:lastRow="0" w:firstColumn="1" w:lastColumn="0" w:noHBand="0" w:noVBand="1"/>
      </w:tblPr>
      <w:tblGrid>
        <w:gridCol w:w="5102"/>
        <w:gridCol w:w="1420"/>
        <w:gridCol w:w="1420"/>
      </w:tblGrid>
      <w:tr w:rsidR="001D1818" w:rsidRPr="00001423" w14:paraId="66BA18B0" w14:textId="77777777" w:rsidTr="0056420D">
        <w:trPr>
          <w:trHeight w:val="299"/>
        </w:trPr>
        <w:tc>
          <w:tcPr>
            <w:tcW w:w="5102" w:type="dxa"/>
            <w:tcBorders>
              <w:top w:val="single" w:sz="4" w:space="0" w:color="auto"/>
              <w:left w:val="nil"/>
              <w:bottom w:val="single" w:sz="4" w:space="0" w:color="auto"/>
              <w:right w:val="nil"/>
            </w:tcBorders>
            <w:shd w:val="clear" w:color="auto" w:fill="DBE5F1" w:themeFill="accent1" w:themeFillTint="33"/>
            <w:noWrap/>
            <w:vAlign w:val="bottom"/>
            <w:hideMark/>
          </w:tcPr>
          <w:p w14:paraId="18AA5933" w14:textId="77777777" w:rsidR="001D1818" w:rsidRPr="00001423" w:rsidRDefault="001D1818" w:rsidP="0056420D">
            <w:pPr>
              <w:spacing w:line="240" w:lineRule="auto"/>
              <w:rPr>
                <w:rFonts w:eastAsia="Times New Roman" w:cs="Arial"/>
                <w:b/>
                <w:bCs/>
                <w:lang w:eastAsia="da-DK"/>
              </w:rPr>
            </w:pPr>
            <w:r w:rsidRPr="00001423">
              <w:rPr>
                <w:rFonts w:eastAsia="Times New Roman" w:cs="Arial"/>
                <w:lang w:eastAsia="da-DK"/>
              </w:rPr>
              <w:t>1.000 kr.</w:t>
            </w:r>
            <w:r>
              <w:rPr>
                <w:rFonts w:eastAsia="Times New Roman" w:cs="Arial"/>
                <w:lang w:eastAsia="da-DK"/>
              </w:rPr>
              <w:t xml:space="preserve"> (PL2025)</w:t>
            </w:r>
          </w:p>
        </w:tc>
        <w:tc>
          <w:tcPr>
            <w:tcW w:w="1420" w:type="dxa"/>
            <w:tcBorders>
              <w:top w:val="single" w:sz="4" w:space="0" w:color="auto"/>
              <w:left w:val="nil"/>
              <w:bottom w:val="single" w:sz="4" w:space="0" w:color="auto"/>
              <w:right w:val="nil"/>
            </w:tcBorders>
            <w:shd w:val="clear" w:color="auto" w:fill="DBE5F1" w:themeFill="accent1" w:themeFillTint="33"/>
            <w:noWrap/>
            <w:vAlign w:val="center"/>
          </w:tcPr>
          <w:p w14:paraId="5A2CA98E" w14:textId="77777777" w:rsidR="001D1818" w:rsidRPr="00001423" w:rsidRDefault="001D1818" w:rsidP="0056420D">
            <w:pPr>
              <w:spacing w:line="240" w:lineRule="auto"/>
              <w:jc w:val="right"/>
              <w:rPr>
                <w:rFonts w:eastAsia="Times New Roman" w:cs="Arial"/>
                <w:b/>
                <w:bCs/>
                <w:lang w:eastAsia="da-DK"/>
              </w:rPr>
            </w:pPr>
            <w:r>
              <w:rPr>
                <w:b/>
                <w:bCs/>
              </w:rPr>
              <w:t>2024*</w:t>
            </w:r>
          </w:p>
        </w:tc>
        <w:tc>
          <w:tcPr>
            <w:tcW w:w="1420" w:type="dxa"/>
            <w:tcBorders>
              <w:top w:val="single" w:sz="4" w:space="0" w:color="auto"/>
              <w:left w:val="nil"/>
              <w:bottom w:val="single" w:sz="4" w:space="0" w:color="auto"/>
              <w:right w:val="nil"/>
            </w:tcBorders>
            <w:shd w:val="clear" w:color="auto" w:fill="DBE5F1" w:themeFill="accent1" w:themeFillTint="33"/>
            <w:noWrap/>
            <w:vAlign w:val="center"/>
          </w:tcPr>
          <w:p w14:paraId="7E7196FB" w14:textId="77777777" w:rsidR="001D1818" w:rsidRPr="00001423" w:rsidRDefault="001D1818" w:rsidP="0056420D">
            <w:pPr>
              <w:spacing w:line="240" w:lineRule="auto"/>
              <w:jc w:val="right"/>
              <w:rPr>
                <w:rFonts w:eastAsia="Times New Roman" w:cs="Arial"/>
                <w:b/>
                <w:bCs/>
                <w:lang w:eastAsia="da-DK"/>
              </w:rPr>
            </w:pPr>
            <w:r>
              <w:rPr>
                <w:b/>
                <w:bCs/>
              </w:rPr>
              <w:t>2025**</w:t>
            </w:r>
          </w:p>
        </w:tc>
      </w:tr>
      <w:tr w:rsidR="001D1818" w:rsidRPr="00001423" w14:paraId="59D78671" w14:textId="77777777" w:rsidTr="0056420D">
        <w:trPr>
          <w:trHeight w:val="106"/>
        </w:trPr>
        <w:tc>
          <w:tcPr>
            <w:tcW w:w="5102" w:type="dxa"/>
            <w:tcBorders>
              <w:top w:val="nil"/>
              <w:left w:val="nil"/>
              <w:right w:val="nil"/>
            </w:tcBorders>
            <w:shd w:val="clear" w:color="auto" w:fill="DBE5F1" w:themeFill="accent1" w:themeFillTint="33"/>
            <w:noWrap/>
            <w:vAlign w:val="center"/>
            <w:hideMark/>
          </w:tcPr>
          <w:p w14:paraId="0C51FB5F" w14:textId="77777777" w:rsidR="001D1818" w:rsidRPr="00001423" w:rsidRDefault="001D1818" w:rsidP="0056420D">
            <w:pPr>
              <w:spacing w:line="240" w:lineRule="auto"/>
              <w:rPr>
                <w:rFonts w:eastAsia="Times New Roman" w:cs="Arial"/>
                <w:b/>
                <w:bCs/>
                <w:lang w:eastAsia="da-DK"/>
              </w:rPr>
            </w:pPr>
            <w:r w:rsidRPr="00001423">
              <w:rPr>
                <w:rFonts w:eastAsia="Times New Roman" w:cs="Arial"/>
                <w:b/>
                <w:bCs/>
                <w:lang w:eastAsia="da-DK"/>
              </w:rPr>
              <w:t> </w:t>
            </w:r>
          </w:p>
        </w:tc>
        <w:tc>
          <w:tcPr>
            <w:tcW w:w="1420" w:type="dxa"/>
            <w:tcBorders>
              <w:top w:val="single" w:sz="4" w:space="0" w:color="auto"/>
              <w:left w:val="nil"/>
              <w:right w:val="nil"/>
            </w:tcBorders>
            <w:shd w:val="clear" w:color="auto" w:fill="DBE5F1" w:themeFill="accent1" w:themeFillTint="33"/>
            <w:noWrap/>
            <w:vAlign w:val="center"/>
            <w:hideMark/>
          </w:tcPr>
          <w:p w14:paraId="40252069" w14:textId="77777777" w:rsidR="001D1818" w:rsidRPr="00001423" w:rsidRDefault="001D1818" w:rsidP="0056420D">
            <w:pPr>
              <w:spacing w:line="240" w:lineRule="auto"/>
              <w:jc w:val="right"/>
              <w:rPr>
                <w:rFonts w:eastAsia="Times New Roman" w:cs="Arial"/>
                <w:lang w:eastAsia="da-DK"/>
              </w:rPr>
            </w:pPr>
          </w:p>
        </w:tc>
        <w:tc>
          <w:tcPr>
            <w:tcW w:w="1420" w:type="dxa"/>
            <w:tcBorders>
              <w:top w:val="single" w:sz="4" w:space="0" w:color="auto"/>
              <w:left w:val="nil"/>
              <w:right w:val="nil"/>
            </w:tcBorders>
            <w:shd w:val="clear" w:color="auto" w:fill="DBE5F1" w:themeFill="accent1" w:themeFillTint="33"/>
            <w:vAlign w:val="center"/>
          </w:tcPr>
          <w:p w14:paraId="6B593F1F" w14:textId="77777777" w:rsidR="001D1818" w:rsidRPr="00001423" w:rsidRDefault="001D1818" w:rsidP="0056420D">
            <w:pPr>
              <w:spacing w:line="240" w:lineRule="auto"/>
              <w:jc w:val="right"/>
              <w:rPr>
                <w:rFonts w:eastAsia="Times New Roman" w:cs="Arial"/>
                <w:lang w:eastAsia="da-DK"/>
              </w:rPr>
            </w:pPr>
          </w:p>
        </w:tc>
      </w:tr>
      <w:tr w:rsidR="001D1818" w:rsidRPr="00001423" w14:paraId="709BE1E3" w14:textId="77777777" w:rsidTr="0056420D">
        <w:trPr>
          <w:trHeight w:val="299"/>
        </w:trPr>
        <w:tc>
          <w:tcPr>
            <w:tcW w:w="5102" w:type="dxa"/>
            <w:tcBorders>
              <w:top w:val="nil"/>
              <w:left w:val="nil"/>
              <w:bottom w:val="single" w:sz="4" w:space="0" w:color="auto"/>
              <w:right w:val="nil"/>
            </w:tcBorders>
            <w:shd w:val="clear" w:color="auto" w:fill="DBE5F1" w:themeFill="accent1" w:themeFillTint="33"/>
            <w:noWrap/>
            <w:vAlign w:val="center"/>
            <w:hideMark/>
          </w:tcPr>
          <w:p w14:paraId="3C4D7265" w14:textId="77777777" w:rsidR="001D1818" w:rsidRPr="00001423" w:rsidRDefault="001D1818" w:rsidP="0056420D">
            <w:pPr>
              <w:spacing w:line="240" w:lineRule="auto"/>
              <w:rPr>
                <w:rFonts w:eastAsia="Times New Roman" w:cs="Arial"/>
                <w:lang w:eastAsia="da-DK"/>
              </w:rPr>
            </w:pPr>
            <w:r>
              <w:rPr>
                <w:rFonts w:eastAsia="Times New Roman" w:cs="Arial"/>
                <w:lang w:eastAsia="da-DK"/>
              </w:rPr>
              <w:t>Samlede udgifter til administration i magistratsafdeling***</w:t>
            </w:r>
          </w:p>
        </w:tc>
        <w:tc>
          <w:tcPr>
            <w:tcW w:w="1420" w:type="dxa"/>
            <w:tcBorders>
              <w:top w:val="nil"/>
              <w:left w:val="nil"/>
              <w:bottom w:val="single" w:sz="4" w:space="0" w:color="auto"/>
              <w:right w:val="nil"/>
            </w:tcBorders>
            <w:shd w:val="clear" w:color="auto" w:fill="DBE5F1" w:themeFill="accent1" w:themeFillTint="33"/>
            <w:noWrap/>
            <w:vAlign w:val="center"/>
            <w:hideMark/>
          </w:tcPr>
          <w:p w14:paraId="022A6243" w14:textId="77777777" w:rsidR="001D1818" w:rsidRPr="00001423" w:rsidRDefault="001D1818" w:rsidP="0056420D">
            <w:pPr>
              <w:spacing w:before="60" w:after="60" w:line="240" w:lineRule="auto"/>
              <w:jc w:val="right"/>
              <w:rPr>
                <w:rFonts w:cs="Arial"/>
                <w:color w:val="000000"/>
              </w:rPr>
            </w:pPr>
            <w:r w:rsidRPr="00D57CC3">
              <w:t>74.24</w:t>
            </w:r>
            <w:r>
              <w:t>2</w:t>
            </w:r>
          </w:p>
        </w:tc>
        <w:tc>
          <w:tcPr>
            <w:tcW w:w="1420" w:type="dxa"/>
            <w:tcBorders>
              <w:top w:val="nil"/>
              <w:left w:val="nil"/>
              <w:bottom w:val="single" w:sz="4" w:space="0" w:color="auto"/>
              <w:right w:val="nil"/>
            </w:tcBorders>
            <w:shd w:val="clear" w:color="auto" w:fill="DBE5F1" w:themeFill="accent1" w:themeFillTint="33"/>
            <w:noWrap/>
            <w:vAlign w:val="center"/>
            <w:hideMark/>
          </w:tcPr>
          <w:p w14:paraId="2F086873" w14:textId="77777777" w:rsidR="001D1818" w:rsidRPr="00001423" w:rsidRDefault="001D1818" w:rsidP="0056420D">
            <w:pPr>
              <w:spacing w:before="60" w:after="60" w:line="240" w:lineRule="auto"/>
              <w:jc w:val="right"/>
              <w:rPr>
                <w:rFonts w:cs="Arial"/>
                <w:color w:val="000000"/>
              </w:rPr>
            </w:pPr>
            <w:r w:rsidRPr="00D57CC3">
              <w:t>83.534</w:t>
            </w:r>
          </w:p>
        </w:tc>
      </w:tr>
      <w:tr w:rsidR="001D1818" w:rsidRPr="00001423" w14:paraId="635FC4C0" w14:textId="77777777" w:rsidTr="0056420D">
        <w:trPr>
          <w:trHeight w:val="299"/>
        </w:trPr>
        <w:tc>
          <w:tcPr>
            <w:tcW w:w="5102" w:type="dxa"/>
            <w:tcBorders>
              <w:top w:val="single" w:sz="4" w:space="0" w:color="auto"/>
              <w:left w:val="nil"/>
              <w:bottom w:val="dashed" w:sz="4" w:space="0" w:color="auto"/>
              <w:right w:val="nil"/>
            </w:tcBorders>
            <w:shd w:val="clear" w:color="auto" w:fill="DBE5F1" w:themeFill="accent1" w:themeFillTint="33"/>
            <w:noWrap/>
            <w:vAlign w:val="center"/>
          </w:tcPr>
          <w:p w14:paraId="2735B7B4" w14:textId="77777777" w:rsidR="001D1818" w:rsidRDefault="001D1818" w:rsidP="0056420D">
            <w:pPr>
              <w:spacing w:line="240" w:lineRule="auto"/>
              <w:rPr>
                <w:rFonts w:eastAsia="Times New Roman" w:cs="Arial"/>
                <w:lang w:eastAsia="da-DK"/>
              </w:rPr>
            </w:pPr>
            <w:r>
              <w:rPr>
                <w:rFonts w:eastAsia="Times New Roman" w:cs="Arial"/>
                <w:lang w:eastAsia="da-DK"/>
              </w:rPr>
              <w:t>Administrative besparelser</w:t>
            </w:r>
          </w:p>
        </w:tc>
        <w:tc>
          <w:tcPr>
            <w:tcW w:w="1420" w:type="dxa"/>
            <w:tcBorders>
              <w:top w:val="single" w:sz="4" w:space="0" w:color="auto"/>
              <w:left w:val="nil"/>
              <w:bottom w:val="dashed" w:sz="4" w:space="0" w:color="auto"/>
              <w:right w:val="nil"/>
            </w:tcBorders>
            <w:shd w:val="clear" w:color="auto" w:fill="DBE5F1" w:themeFill="accent1" w:themeFillTint="33"/>
            <w:noWrap/>
            <w:vAlign w:val="center"/>
          </w:tcPr>
          <w:p w14:paraId="52D54024" w14:textId="77777777" w:rsidR="001D1818" w:rsidRDefault="001D1818" w:rsidP="0056420D">
            <w:pPr>
              <w:spacing w:before="60" w:after="60" w:line="240" w:lineRule="auto"/>
              <w:jc w:val="right"/>
            </w:pPr>
            <w:r>
              <w:t>4.591</w:t>
            </w:r>
          </w:p>
        </w:tc>
        <w:tc>
          <w:tcPr>
            <w:tcW w:w="1420" w:type="dxa"/>
            <w:tcBorders>
              <w:top w:val="single" w:sz="4" w:space="0" w:color="auto"/>
              <w:left w:val="nil"/>
              <w:bottom w:val="dashed" w:sz="4" w:space="0" w:color="auto"/>
              <w:right w:val="nil"/>
            </w:tcBorders>
            <w:shd w:val="clear" w:color="auto" w:fill="DBE5F1" w:themeFill="accent1" w:themeFillTint="33"/>
            <w:noWrap/>
            <w:vAlign w:val="center"/>
          </w:tcPr>
          <w:p w14:paraId="5A0A976B" w14:textId="77777777" w:rsidR="001D1818" w:rsidRDefault="001D1818" w:rsidP="0056420D">
            <w:pPr>
              <w:spacing w:before="60" w:after="60" w:line="240" w:lineRule="auto"/>
              <w:jc w:val="right"/>
            </w:pPr>
            <w:r>
              <w:t>6.001</w:t>
            </w:r>
          </w:p>
        </w:tc>
      </w:tr>
      <w:tr w:rsidR="001D1818" w:rsidRPr="00001423" w14:paraId="57A45ED7" w14:textId="77777777" w:rsidTr="0056420D">
        <w:trPr>
          <w:trHeight w:val="299"/>
        </w:trPr>
        <w:tc>
          <w:tcPr>
            <w:tcW w:w="5102" w:type="dxa"/>
            <w:tcBorders>
              <w:top w:val="dashed" w:sz="4" w:space="0" w:color="auto"/>
              <w:left w:val="nil"/>
              <w:bottom w:val="nil"/>
              <w:right w:val="nil"/>
            </w:tcBorders>
            <w:shd w:val="clear" w:color="auto" w:fill="DBE5F1" w:themeFill="accent1" w:themeFillTint="33"/>
            <w:noWrap/>
            <w:vAlign w:val="center"/>
          </w:tcPr>
          <w:p w14:paraId="6C0BF4A1" w14:textId="77777777" w:rsidR="001D1818" w:rsidRDefault="001D1818" w:rsidP="0056420D">
            <w:pPr>
              <w:spacing w:line="240" w:lineRule="auto"/>
              <w:rPr>
                <w:rFonts w:eastAsia="Times New Roman" w:cs="Arial"/>
                <w:lang w:eastAsia="da-DK"/>
              </w:rPr>
            </w:pPr>
            <w:r>
              <w:rPr>
                <w:rFonts w:eastAsia="Times New Roman" w:cs="Arial"/>
                <w:lang w:eastAsia="da-DK"/>
              </w:rPr>
              <w:t>Samlede udgifter decentralt</w:t>
            </w:r>
          </w:p>
        </w:tc>
        <w:tc>
          <w:tcPr>
            <w:tcW w:w="1420" w:type="dxa"/>
            <w:tcBorders>
              <w:top w:val="dashed" w:sz="4" w:space="0" w:color="auto"/>
              <w:left w:val="nil"/>
              <w:bottom w:val="nil"/>
              <w:right w:val="nil"/>
            </w:tcBorders>
            <w:shd w:val="clear" w:color="auto" w:fill="DBE5F1" w:themeFill="accent1" w:themeFillTint="33"/>
            <w:noWrap/>
            <w:vAlign w:val="center"/>
          </w:tcPr>
          <w:p w14:paraId="21B4C07F" w14:textId="77777777" w:rsidR="001D1818" w:rsidRPr="00915DD3" w:rsidRDefault="001D1818" w:rsidP="0056420D">
            <w:pPr>
              <w:spacing w:before="60" w:after="60" w:line="240" w:lineRule="auto"/>
              <w:jc w:val="right"/>
            </w:pPr>
            <w:r w:rsidRPr="00F864FD">
              <w:t>374.707</w:t>
            </w:r>
          </w:p>
        </w:tc>
        <w:tc>
          <w:tcPr>
            <w:tcW w:w="1420" w:type="dxa"/>
            <w:tcBorders>
              <w:top w:val="dashed" w:sz="4" w:space="0" w:color="auto"/>
              <w:left w:val="nil"/>
              <w:bottom w:val="nil"/>
              <w:right w:val="nil"/>
            </w:tcBorders>
            <w:shd w:val="clear" w:color="auto" w:fill="DBE5F1" w:themeFill="accent1" w:themeFillTint="33"/>
            <w:noWrap/>
            <w:vAlign w:val="center"/>
          </w:tcPr>
          <w:p w14:paraId="2E49934B" w14:textId="77777777" w:rsidR="001D1818" w:rsidRPr="00915DD3" w:rsidRDefault="001D1818" w:rsidP="0056420D">
            <w:pPr>
              <w:spacing w:before="60" w:after="60" w:line="240" w:lineRule="auto"/>
              <w:jc w:val="right"/>
            </w:pPr>
            <w:r w:rsidRPr="00F864FD">
              <w:t>384.77</w:t>
            </w:r>
            <w:r>
              <w:t>6</w:t>
            </w:r>
          </w:p>
        </w:tc>
      </w:tr>
      <w:tr w:rsidR="001D1818" w:rsidRPr="00001423" w14:paraId="6E1B47DC" w14:textId="77777777" w:rsidTr="0056420D">
        <w:trPr>
          <w:trHeight w:val="299"/>
        </w:trPr>
        <w:tc>
          <w:tcPr>
            <w:tcW w:w="5102" w:type="dxa"/>
            <w:tcBorders>
              <w:top w:val="nil"/>
              <w:left w:val="nil"/>
              <w:right w:val="nil"/>
            </w:tcBorders>
            <w:shd w:val="clear" w:color="auto" w:fill="DBE5F1" w:themeFill="accent1" w:themeFillTint="33"/>
            <w:noWrap/>
            <w:vAlign w:val="center"/>
            <w:hideMark/>
          </w:tcPr>
          <w:p w14:paraId="57D73997" w14:textId="77777777" w:rsidR="001D1818" w:rsidRPr="000059C5" w:rsidRDefault="001D1818" w:rsidP="0056420D">
            <w:pPr>
              <w:spacing w:line="240" w:lineRule="auto"/>
              <w:rPr>
                <w:rFonts w:eastAsia="Times New Roman" w:cs="Arial"/>
                <w:i/>
                <w:iCs/>
                <w:lang w:eastAsia="da-DK"/>
              </w:rPr>
            </w:pPr>
            <w:r w:rsidRPr="000059C5">
              <w:rPr>
                <w:rFonts w:eastAsia="Times New Roman" w:cs="Arial"/>
                <w:i/>
                <w:iCs/>
                <w:lang w:eastAsia="da-DK"/>
              </w:rPr>
              <w:t>- heraf</w:t>
            </w:r>
            <w:r>
              <w:rPr>
                <w:rFonts w:eastAsia="Times New Roman" w:cs="Arial"/>
                <w:i/>
                <w:iCs/>
                <w:lang w:eastAsia="da-DK"/>
              </w:rPr>
              <w:t xml:space="preserve"> administrative besparelser</w:t>
            </w:r>
            <w:r w:rsidRPr="000059C5">
              <w:rPr>
                <w:rFonts w:eastAsia="Times New Roman" w:cs="Arial"/>
                <w:i/>
                <w:iCs/>
                <w:lang w:eastAsia="da-DK"/>
              </w:rPr>
              <w:t xml:space="preserve"> decentralt</w:t>
            </w:r>
          </w:p>
        </w:tc>
        <w:tc>
          <w:tcPr>
            <w:tcW w:w="1420" w:type="dxa"/>
            <w:tcBorders>
              <w:top w:val="nil"/>
              <w:left w:val="nil"/>
              <w:right w:val="nil"/>
            </w:tcBorders>
            <w:shd w:val="clear" w:color="auto" w:fill="DBE5F1" w:themeFill="accent1" w:themeFillTint="33"/>
            <w:noWrap/>
            <w:vAlign w:val="center"/>
            <w:hideMark/>
          </w:tcPr>
          <w:p w14:paraId="76C94DBD" w14:textId="77777777" w:rsidR="001D1818" w:rsidRPr="008C574B" w:rsidRDefault="001D1818" w:rsidP="0056420D">
            <w:pPr>
              <w:spacing w:before="60" w:after="60" w:line="240" w:lineRule="auto"/>
              <w:jc w:val="right"/>
              <w:rPr>
                <w:rFonts w:cs="Arial"/>
                <w:i/>
                <w:iCs/>
                <w:color w:val="000000"/>
              </w:rPr>
            </w:pPr>
            <w:r w:rsidRPr="008C574B">
              <w:rPr>
                <w:i/>
                <w:iCs/>
              </w:rPr>
              <w:t>4.479</w:t>
            </w:r>
          </w:p>
        </w:tc>
        <w:tc>
          <w:tcPr>
            <w:tcW w:w="1420" w:type="dxa"/>
            <w:tcBorders>
              <w:top w:val="nil"/>
              <w:left w:val="nil"/>
              <w:right w:val="nil"/>
            </w:tcBorders>
            <w:shd w:val="clear" w:color="auto" w:fill="DBE5F1" w:themeFill="accent1" w:themeFillTint="33"/>
            <w:noWrap/>
            <w:vAlign w:val="center"/>
            <w:hideMark/>
          </w:tcPr>
          <w:p w14:paraId="23B83D7A" w14:textId="77777777" w:rsidR="001D1818" w:rsidRPr="008C574B" w:rsidRDefault="001D1818" w:rsidP="0056420D">
            <w:pPr>
              <w:spacing w:before="60" w:after="60" w:line="240" w:lineRule="auto"/>
              <w:jc w:val="right"/>
              <w:rPr>
                <w:rFonts w:cs="Arial"/>
                <w:i/>
                <w:iCs/>
                <w:color w:val="000000"/>
              </w:rPr>
            </w:pPr>
            <w:r w:rsidRPr="008C574B">
              <w:rPr>
                <w:i/>
                <w:iCs/>
              </w:rPr>
              <w:t>4.620</w:t>
            </w:r>
          </w:p>
        </w:tc>
      </w:tr>
      <w:tr w:rsidR="001D1818" w:rsidRPr="00001423" w14:paraId="0A61F9B8" w14:textId="77777777" w:rsidTr="0056420D">
        <w:trPr>
          <w:trHeight w:val="299"/>
        </w:trPr>
        <w:tc>
          <w:tcPr>
            <w:tcW w:w="5102" w:type="dxa"/>
            <w:tcBorders>
              <w:top w:val="nil"/>
              <w:left w:val="nil"/>
              <w:right w:val="nil"/>
            </w:tcBorders>
            <w:shd w:val="clear" w:color="auto" w:fill="DBE5F1" w:themeFill="accent1" w:themeFillTint="33"/>
            <w:noWrap/>
            <w:vAlign w:val="center"/>
          </w:tcPr>
          <w:p w14:paraId="27A0BB42" w14:textId="77777777" w:rsidR="001D1818" w:rsidRPr="000059C5" w:rsidRDefault="001D1818" w:rsidP="0056420D">
            <w:pPr>
              <w:spacing w:line="240" w:lineRule="auto"/>
              <w:rPr>
                <w:rFonts w:eastAsia="Times New Roman" w:cs="Arial"/>
                <w:i/>
                <w:iCs/>
                <w:lang w:eastAsia="da-DK"/>
              </w:rPr>
            </w:pPr>
            <w:r>
              <w:rPr>
                <w:rFonts w:eastAsia="Times New Roman" w:cs="Arial"/>
                <w:lang w:eastAsia="da-DK"/>
              </w:rPr>
              <w:t>Samlede udgifter centralt</w:t>
            </w:r>
          </w:p>
        </w:tc>
        <w:tc>
          <w:tcPr>
            <w:tcW w:w="1420" w:type="dxa"/>
            <w:tcBorders>
              <w:top w:val="nil"/>
              <w:left w:val="nil"/>
              <w:right w:val="nil"/>
            </w:tcBorders>
            <w:shd w:val="clear" w:color="auto" w:fill="DBE5F1" w:themeFill="accent1" w:themeFillTint="33"/>
            <w:noWrap/>
            <w:vAlign w:val="center"/>
          </w:tcPr>
          <w:p w14:paraId="5C3CA206" w14:textId="77777777" w:rsidR="001D1818" w:rsidRPr="00915DD3" w:rsidRDefault="001D1818" w:rsidP="0056420D">
            <w:pPr>
              <w:spacing w:before="60" w:after="60" w:line="240" w:lineRule="auto"/>
              <w:jc w:val="right"/>
            </w:pPr>
            <w:r w:rsidRPr="00D57CC3">
              <w:t>74.24</w:t>
            </w:r>
            <w:r>
              <w:t>2</w:t>
            </w:r>
          </w:p>
        </w:tc>
        <w:tc>
          <w:tcPr>
            <w:tcW w:w="1420" w:type="dxa"/>
            <w:tcBorders>
              <w:top w:val="nil"/>
              <w:left w:val="nil"/>
              <w:right w:val="nil"/>
            </w:tcBorders>
            <w:shd w:val="clear" w:color="auto" w:fill="DBE5F1" w:themeFill="accent1" w:themeFillTint="33"/>
            <w:noWrap/>
            <w:vAlign w:val="center"/>
          </w:tcPr>
          <w:p w14:paraId="1D20B239" w14:textId="77777777" w:rsidR="001D1818" w:rsidRPr="00915DD3" w:rsidRDefault="001D1818" w:rsidP="0056420D">
            <w:pPr>
              <w:spacing w:before="60" w:after="60" w:line="240" w:lineRule="auto"/>
              <w:jc w:val="right"/>
            </w:pPr>
            <w:r w:rsidRPr="00D57CC3">
              <w:t>83.534</w:t>
            </w:r>
          </w:p>
        </w:tc>
      </w:tr>
      <w:tr w:rsidR="001D1818" w:rsidRPr="00001423" w14:paraId="1315824A" w14:textId="77777777" w:rsidTr="0056420D">
        <w:trPr>
          <w:trHeight w:val="299"/>
        </w:trPr>
        <w:tc>
          <w:tcPr>
            <w:tcW w:w="5102" w:type="dxa"/>
            <w:tcBorders>
              <w:top w:val="nil"/>
              <w:left w:val="nil"/>
              <w:bottom w:val="single" w:sz="4" w:space="0" w:color="auto"/>
              <w:right w:val="nil"/>
            </w:tcBorders>
            <w:shd w:val="clear" w:color="auto" w:fill="DBE5F1" w:themeFill="accent1" w:themeFillTint="33"/>
            <w:noWrap/>
            <w:vAlign w:val="center"/>
            <w:hideMark/>
          </w:tcPr>
          <w:p w14:paraId="6BB5C67B" w14:textId="77777777" w:rsidR="001D1818" w:rsidRPr="000059C5" w:rsidRDefault="001D1818" w:rsidP="0056420D">
            <w:pPr>
              <w:spacing w:line="240" w:lineRule="auto"/>
              <w:rPr>
                <w:rFonts w:eastAsia="Times New Roman" w:cs="Arial"/>
                <w:i/>
                <w:iCs/>
                <w:lang w:eastAsia="da-DK"/>
              </w:rPr>
            </w:pPr>
            <w:r w:rsidRPr="000059C5">
              <w:rPr>
                <w:rFonts w:eastAsia="Times New Roman" w:cs="Arial"/>
                <w:i/>
                <w:iCs/>
                <w:lang w:eastAsia="da-DK"/>
              </w:rPr>
              <w:t>- heraf</w:t>
            </w:r>
            <w:r>
              <w:rPr>
                <w:rFonts w:eastAsia="Times New Roman" w:cs="Arial"/>
                <w:i/>
                <w:iCs/>
                <w:lang w:eastAsia="da-DK"/>
              </w:rPr>
              <w:t xml:space="preserve"> administrative besparelser</w:t>
            </w:r>
            <w:r w:rsidRPr="000059C5">
              <w:rPr>
                <w:rFonts w:eastAsia="Times New Roman" w:cs="Arial"/>
                <w:i/>
                <w:iCs/>
                <w:lang w:eastAsia="da-DK"/>
              </w:rPr>
              <w:t xml:space="preserve"> centralt</w:t>
            </w:r>
          </w:p>
        </w:tc>
        <w:tc>
          <w:tcPr>
            <w:tcW w:w="1420" w:type="dxa"/>
            <w:tcBorders>
              <w:top w:val="nil"/>
              <w:left w:val="nil"/>
              <w:bottom w:val="single" w:sz="4" w:space="0" w:color="auto"/>
              <w:right w:val="nil"/>
            </w:tcBorders>
            <w:shd w:val="clear" w:color="auto" w:fill="DBE5F1" w:themeFill="accent1" w:themeFillTint="33"/>
            <w:noWrap/>
            <w:vAlign w:val="center"/>
            <w:hideMark/>
          </w:tcPr>
          <w:p w14:paraId="378C5731" w14:textId="77777777" w:rsidR="001D1818" w:rsidRPr="000059C5" w:rsidRDefault="001D1818" w:rsidP="0056420D">
            <w:pPr>
              <w:spacing w:before="60" w:after="60" w:line="240" w:lineRule="auto"/>
              <w:jc w:val="right"/>
              <w:rPr>
                <w:rFonts w:cs="Arial"/>
                <w:i/>
                <w:iCs/>
                <w:color w:val="000000"/>
              </w:rPr>
            </w:pPr>
            <w:r>
              <w:rPr>
                <w:rFonts w:cs="Arial"/>
                <w:i/>
                <w:iCs/>
                <w:color w:val="000000"/>
              </w:rPr>
              <w:t>111</w:t>
            </w:r>
          </w:p>
        </w:tc>
        <w:tc>
          <w:tcPr>
            <w:tcW w:w="1420" w:type="dxa"/>
            <w:tcBorders>
              <w:top w:val="nil"/>
              <w:left w:val="nil"/>
              <w:bottom w:val="single" w:sz="4" w:space="0" w:color="auto"/>
              <w:right w:val="nil"/>
            </w:tcBorders>
            <w:shd w:val="clear" w:color="auto" w:fill="DBE5F1" w:themeFill="accent1" w:themeFillTint="33"/>
            <w:noWrap/>
            <w:vAlign w:val="center"/>
            <w:hideMark/>
          </w:tcPr>
          <w:p w14:paraId="1DF9CC0B" w14:textId="77777777" w:rsidR="001D1818" w:rsidRPr="000059C5" w:rsidRDefault="001D1818" w:rsidP="0056420D">
            <w:pPr>
              <w:spacing w:before="60" w:after="60" w:line="240" w:lineRule="auto"/>
              <w:jc w:val="right"/>
              <w:rPr>
                <w:rFonts w:cs="Arial"/>
                <w:i/>
                <w:iCs/>
                <w:color w:val="000000"/>
              </w:rPr>
            </w:pPr>
            <w:r>
              <w:rPr>
                <w:rFonts w:cs="Arial"/>
                <w:i/>
                <w:iCs/>
                <w:color w:val="000000"/>
              </w:rPr>
              <w:t>1.380</w:t>
            </w:r>
          </w:p>
        </w:tc>
      </w:tr>
    </w:tbl>
    <w:p w14:paraId="3B33FE84" w14:textId="77777777" w:rsidR="001D1818" w:rsidRPr="001D1818" w:rsidRDefault="001D1818" w:rsidP="001D1818">
      <w:pPr>
        <w:spacing w:line="340" w:lineRule="atLeast"/>
        <w:jc w:val="both"/>
        <w:rPr>
          <w:rFonts w:ascii="Verdana" w:eastAsia="Calibri" w:hAnsi="Verdana"/>
          <w:i/>
          <w:iCs/>
          <w:sz w:val="16"/>
          <w:szCs w:val="16"/>
          <w:lang w:val="nb-NO"/>
        </w:rPr>
      </w:pPr>
      <w:r w:rsidRPr="001D1818">
        <w:rPr>
          <w:rFonts w:ascii="Verdana" w:eastAsia="Calibri" w:hAnsi="Verdana"/>
          <w:i/>
          <w:iCs/>
          <w:sz w:val="16"/>
          <w:szCs w:val="16"/>
          <w:lang w:val="nb-NO"/>
        </w:rPr>
        <w:t>*For 2024 er der medtaget regnskabstal (forbrug).</w:t>
      </w:r>
    </w:p>
    <w:p w14:paraId="54B7D92E" w14:textId="77777777" w:rsidR="001D1818" w:rsidRPr="001D1818" w:rsidRDefault="001D1818" w:rsidP="001D1818">
      <w:pPr>
        <w:spacing w:line="340" w:lineRule="atLeast"/>
        <w:jc w:val="both"/>
        <w:rPr>
          <w:rFonts w:ascii="Verdana" w:eastAsia="Calibri" w:hAnsi="Verdana"/>
          <w:i/>
          <w:iCs/>
          <w:sz w:val="16"/>
          <w:szCs w:val="16"/>
          <w:lang w:val="nb-NO"/>
        </w:rPr>
      </w:pPr>
      <w:r w:rsidRPr="001D1818">
        <w:rPr>
          <w:rFonts w:ascii="Verdana" w:eastAsia="Calibri" w:hAnsi="Verdana"/>
          <w:i/>
          <w:iCs/>
          <w:sz w:val="16"/>
          <w:szCs w:val="16"/>
          <w:lang w:val="nb-NO"/>
        </w:rPr>
        <w:t>** For 2025 er der medtaget budgettal.</w:t>
      </w:r>
    </w:p>
    <w:p w14:paraId="2C13A1A3" w14:textId="77777777" w:rsidR="001D1818" w:rsidRPr="001D1818" w:rsidRDefault="001D1818" w:rsidP="001D1818">
      <w:pPr>
        <w:spacing w:line="340" w:lineRule="atLeast"/>
        <w:jc w:val="both"/>
        <w:rPr>
          <w:rFonts w:ascii="Verdana" w:eastAsia="Calibri" w:hAnsi="Verdana"/>
          <w:sz w:val="16"/>
          <w:szCs w:val="16"/>
          <w:lang w:val="nb-NO"/>
        </w:rPr>
      </w:pPr>
      <w:r w:rsidRPr="001D1818">
        <w:rPr>
          <w:rFonts w:ascii="Verdana" w:eastAsia="Calibri" w:hAnsi="Verdana"/>
          <w:i/>
          <w:iCs/>
          <w:sz w:val="16"/>
          <w:szCs w:val="16"/>
          <w:lang w:val="nb-NO"/>
        </w:rPr>
        <w:t>***De samlede udgifter til administration er kun opgjort for Fælles Stabe og Direktionen, da det ikke kan opgøres hvilke administrative udgifter de decentrale enheder måtte have. Kollektiv Trafik, Aarhus Ejendomme og Østjyllands Brandvæsen er dog holdt uden for opgørelsen, da de ikke indgår i besparelserne</w:t>
      </w:r>
      <w:r w:rsidRPr="001D1818">
        <w:rPr>
          <w:rFonts w:ascii="Verdana" w:eastAsia="Calibri" w:hAnsi="Verdana"/>
          <w:sz w:val="16"/>
          <w:szCs w:val="16"/>
          <w:lang w:val="nb-NO"/>
        </w:rPr>
        <w:t>.</w:t>
      </w:r>
    </w:p>
    <w:p w14:paraId="082CC196" w14:textId="77777777" w:rsidR="001D1818" w:rsidRPr="0098384D" w:rsidRDefault="001D1818" w:rsidP="001D1818">
      <w:pPr>
        <w:spacing w:line="340" w:lineRule="atLeast"/>
        <w:jc w:val="both"/>
        <w:rPr>
          <w:rFonts w:ascii="Verdana" w:eastAsia="Calibri" w:hAnsi="Verdana"/>
          <w:sz w:val="22"/>
          <w:szCs w:val="22"/>
          <w:lang w:val="nb-NO"/>
        </w:rPr>
      </w:pPr>
    </w:p>
    <w:p w14:paraId="491D1E0E" w14:textId="49D4C474" w:rsidR="001D1818" w:rsidRPr="001D1818" w:rsidRDefault="001D1818" w:rsidP="001D1818">
      <w:r w:rsidRPr="001D1818">
        <w:t>Decentrale enheder i MTM forstås som de faglige områder og de centrale enheder forstås som stabsenhederne inkl. Direktionen.</w:t>
      </w:r>
      <w:r w:rsidR="00326D42">
        <w:t xml:space="preserve"> </w:t>
      </w:r>
      <w:r w:rsidRPr="001D1818">
        <w:t>I 2024 udgjorde de administrative besparelser 1,1% af de decentrale enheders budget, imens det udgjorde 0,12% af de centrale enheders budget. I 2025 udgør de administrative besparelser 1,2% af de decentrale enheders budget, imens det udgjorde 1,7% af de centrale enheders budget.</w:t>
      </w:r>
    </w:p>
    <w:p w14:paraId="682DD91B" w14:textId="77777777" w:rsidR="001D1818" w:rsidRPr="00077871" w:rsidRDefault="001D1818" w:rsidP="001D1818">
      <w:pPr>
        <w:pStyle w:val="Overskrift1"/>
        <w:jc w:val="both"/>
      </w:pPr>
      <w:r>
        <w:lastRenderedPageBreak/>
        <w:t>Bilag 6. Borgmesterens Afdeling</w:t>
      </w:r>
    </w:p>
    <w:p w14:paraId="35DD16DB" w14:textId="77777777" w:rsidR="00365765" w:rsidRDefault="00365765" w:rsidP="00365765">
      <w:r>
        <w:t xml:space="preserve">I 2024 blev der i alt sparet 8 mio. kr. på den centrale administration stigende til 10,7 mio. kr. i 2025, som det også fremgår af tabel 1. </w:t>
      </w:r>
    </w:p>
    <w:p w14:paraId="7DC2A14D" w14:textId="77777777" w:rsidR="00365765" w:rsidRDefault="00365765" w:rsidP="00365765"/>
    <w:p w14:paraId="2EB30DB2" w14:textId="77777777" w:rsidR="00365765" w:rsidRDefault="00365765" w:rsidP="00365765">
      <w:r>
        <w:t>Borgmesterens afdeling varetager kun tværgående centrale administrative opgaver for Aarhus Kommune og afdelingen selv, og besparelserne kan derfor kun indhentes herunder.</w:t>
      </w:r>
    </w:p>
    <w:p w14:paraId="26212FEB" w14:textId="77777777" w:rsidR="00365765" w:rsidRDefault="00365765" w:rsidP="00365765"/>
    <w:p w14:paraId="6238246F" w14:textId="77777777" w:rsidR="00365765" w:rsidRDefault="00365765" w:rsidP="00365765">
      <w:r>
        <w:t xml:space="preserve">Hvoraf cirka en 1/3 del er blevet indhentet på løn og administration og de resterende på de tværgående AAK-konti, som dækker overforskellige tværgående projekter og fonde, der løses for hele Aarhus Kommune. </w:t>
      </w:r>
    </w:p>
    <w:p w14:paraId="1EDA9CE7" w14:textId="77777777" w:rsidR="00365765" w:rsidRDefault="00365765" w:rsidP="00365765"/>
    <w:p w14:paraId="43C216F2" w14:textId="77777777" w:rsidR="00365765" w:rsidRDefault="00365765" w:rsidP="00365765">
      <w:r>
        <w:t xml:space="preserve">Budget 2025 er steget med 28 mio. kr. fordi der er flyttet 21 mio. kr. i budget fra magistratsområderne til Fælles IT og digitalisering, i stedet for at blive afregnet årligt. Derudover er erhvervsområdets budget steget med 7 mio. kr. pga. tidsforskydninger i erhvervsprojekterne.  </w:t>
      </w:r>
    </w:p>
    <w:p w14:paraId="07F71144" w14:textId="77777777" w:rsidR="00365765" w:rsidRPr="000059C5" w:rsidRDefault="00365765" w:rsidP="00365765"/>
    <w:p w14:paraId="2C5E1EE4" w14:textId="77777777" w:rsidR="00365765" w:rsidRDefault="00365765" w:rsidP="00365765">
      <w:pPr>
        <w:pStyle w:val="TabeloverskriftII"/>
        <w:ind w:left="0"/>
      </w:pPr>
      <w:r>
        <w:t>Tabel 1: Udmøntning af administrative besparelser – Borgmesterens afdeling</w:t>
      </w:r>
    </w:p>
    <w:tbl>
      <w:tblPr>
        <w:tblW w:w="7105" w:type="dxa"/>
        <w:shd w:val="clear" w:color="auto" w:fill="DBE5F1" w:themeFill="accent1" w:themeFillTint="33"/>
        <w:tblCellMar>
          <w:left w:w="70" w:type="dxa"/>
          <w:right w:w="70" w:type="dxa"/>
        </w:tblCellMar>
        <w:tblLook w:val="04A0" w:firstRow="1" w:lastRow="0" w:firstColumn="1" w:lastColumn="0" w:noHBand="0" w:noVBand="1"/>
      </w:tblPr>
      <w:tblGrid>
        <w:gridCol w:w="5102"/>
        <w:gridCol w:w="1135"/>
        <w:gridCol w:w="868"/>
      </w:tblGrid>
      <w:tr w:rsidR="00365765" w:rsidRPr="00001423" w14:paraId="7FB37213" w14:textId="77777777" w:rsidTr="0056420D">
        <w:trPr>
          <w:trHeight w:val="299"/>
        </w:trPr>
        <w:tc>
          <w:tcPr>
            <w:tcW w:w="5102" w:type="dxa"/>
            <w:tcBorders>
              <w:top w:val="single" w:sz="4" w:space="0" w:color="auto"/>
              <w:left w:val="nil"/>
              <w:bottom w:val="single" w:sz="4" w:space="0" w:color="auto"/>
              <w:right w:val="nil"/>
            </w:tcBorders>
            <w:shd w:val="clear" w:color="auto" w:fill="DBE5F1" w:themeFill="accent1" w:themeFillTint="33"/>
            <w:noWrap/>
            <w:vAlign w:val="bottom"/>
            <w:hideMark/>
          </w:tcPr>
          <w:p w14:paraId="31D3EBB8" w14:textId="77777777" w:rsidR="00365765" w:rsidRPr="00001423" w:rsidRDefault="00365765" w:rsidP="0056420D">
            <w:pPr>
              <w:spacing w:line="240" w:lineRule="auto"/>
              <w:rPr>
                <w:rFonts w:eastAsia="Times New Roman" w:cs="Arial"/>
                <w:b/>
                <w:bCs/>
                <w:lang w:eastAsia="da-DK"/>
              </w:rPr>
            </w:pPr>
            <w:r w:rsidRPr="00001423">
              <w:rPr>
                <w:rFonts w:eastAsia="Times New Roman" w:cs="Arial"/>
                <w:lang w:eastAsia="da-DK"/>
              </w:rPr>
              <w:t>1.000 kr.</w:t>
            </w:r>
            <w:r>
              <w:rPr>
                <w:rFonts w:eastAsia="Times New Roman" w:cs="Arial"/>
                <w:lang w:eastAsia="da-DK"/>
              </w:rPr>
              <w:t xml:space="preserve"> (PL2025)</w:t>
            </w:r>
          </w:p>
        </w:tc>
        <w:tc>
          <w:tcPr>
            <w:tcW w:w="1135" w:type="dxa"/>
            <w:tcBorders>
              <w:top w:val="single" w:sz="4" w:space="0" w:color="auto"/>
              <w:left w:val="nil"/>
              <w:bottom w:val="single" w:sz="4" w:space="0" w:color="auto"/>
              <w:right w:val="nil"/>
            </w:tcBorders>
            <w:shd w:val="clear" w:color="auto" w:fill="DBE5F1" w:themeFill="accent1" w:themeFillTint="33"/>
            <w:noWrap/>
            <w:vAlign w:val="center"/>
          </w:tcPr>
          <w:p w14:paraId="2A06B1FC" w14:textId="77777777" w:rsidR="00365765" w:rsidRDefault="00365765" w:rsidP="0056420D">
            <w:pPr>
              <w:spacing w:line="240" w:lineRule="auto"/>
              <w:rPr>
                <w:b/>
                <w:bCs/>
              </w:rPr>
            </w:pPr>
            <w:r>
              <w:rPr>
                <w:b/>
                <w:bCs/>
              </w:rPr>
              <w:t>Regnskab</w:t>
            </w:r>
          </w:p>
          <w:p w14:paraId="5DE6D69A" w14:textId="77777777" w:rsidR="00365765" w:rsidRPr="00001423" w:rsidRDefault="00365765" w:rsidP="0056420D">
            <w:pPr>
              <w:spacing w:line="240" w:lineRule="auto"/>
              <w:jc w:val="center"/>
              <w:rPr>
                <w:rFonts w:eastAsia="Times New Roman" w:cs="Arial"/>
                <w:b/>
                <w:bCs/>
                <w:lang w:eastAsia="da-DK"/>
              </w:rPr>
            </w:pPr>
            <w:r>
              <w:rPr>
                <w:b/>
                <w:bCs/>
              </w:rPr>
              <w:t>2024</w:t>
            </w:r>
          </w:p>
        </w:tc>
        <w:tc>
          <w:tcPr>
            <w:tcW w:w="868" w:type="dxa"/>
            <w:tcBorders>
              <w:top w:val="single" w:sz="4" w:space="0" w:color="auto"/>
              <w:left w:val="nil"/>
              <w:bottom w:val="single" w:sz="4" w:space="0" w:color="auto"/>
              <w:right w:val="nil"/>
            </w:tcBorders>
            <w:shd w:val="clear" w:color="auto" w:fill="DBE5F1" w:themeFill="accent1" w:themeFillTint="33"/>
            <w:noWrap/>
            <w:vAlign w:val="center"/>
          </w:tcPr>
          <w:p w14:paraId="7BC3CBC6" w14:textId="77777777" w:rsidR="00365765" w:rsidRDefault="00365765" w:rsidP="0056420D">
            <w:pPr>
              <w:spacing w:line="240" w:lineRule="auto"/>
              <w:jc w:val="right"/>
              <w:rPr>
                <w:b/>
                <w:bCs/>
              </w:rPr>
            </w:pPr>
            <w:r>
              <w:rPr>
                <w:b/>
                <w:bCs/>
              </w:rPr>
              <w:t>Budget</w:t>
            </w:r>
          </w:p>
          <w:p w14:paraId="216D7879" w14:textId="77777777" w:rsidR="00365765" w:rsidRPr="00001423" w:rsidRDefault="00365765" w:rsidP="0056420D">
            <w:pPr>
              <w:spacing w:line="240" w:lineRule="auto"/>
              <w:jc w:val="center"/>
              <w:rPr>
                <w:rFonts w:eastAsia="Times New Roman" w:cs="Arial"/>
                <w:b/>
                <w:bCs/>
                <w:lang w:eastAsia="da-DK"/>
              </w:rPr>
            </w:pPr>
            <w:r>
              <w:rPr>
                <w:b/>
                <w:bCs/>
              </w:rPr>
              <w:t>2025</w:t>
            </w:r>
          </w:p>
        </w:tc>
      </w:tr>
      <w:tr w:rsidR="00365765" w:rsidRPr="00001423" w14:paraId="7B2C7831" w14:textId="77777777" w:rsidTr="0056420D">
        <w:trPr>
          <w:trHeight w:val="106"/>
        </w:trPr>
        <w:tc>
          <w:tcPr>
            <w:tcW w:w="5102" w:type="dxa"/>
            <w:tcBorders>
              <w:top w:val="nil"/>
              <w:left w:val="nil"/>
              <w:right w:val="nil"/>
            </w:tcBorders>
            <w:shd w:val="clear" w:color="auto" w:fill="DBE5F1" w:themeFill="accent1" w:themeFillTint="33"/>
            <w:noWrap/>
            <w:vAlign w:val="center"/>
            <w:hideMark/>
          </w:tcPr>
          <w:p w14:paraId="222C44FB" w14:textId="77777777" w:rsidR="00365765" w:rsidRPr="00001423" w:rsidRDefault="00365765" w:rsidP="0056420D">
            <w:pPr>
              <w:spacing w:line="240" w:lineRule="auto"/>
              <w:rPr>
                <w:rFonts w:eastAsia="Times New Roman" w:cs="Arial"/>
                <w:b/>
                <w:bCs/>
                <w:lang w:eastAsia="da-DK"/>
              </w:rPr>
            </w:pPr>
            <w:r w:rsidRPr="00001423">
              <w:rPr>
                <w:rFonts w:eastAsia="Times New Roman" w:cs="Arial"/>
                <w:b/>
                <w:bCs/>
                <w:lang w:eastAsia="da-DK"/>
              </w:rPr>
              <w:t> </w:t>
            </w:r>
          </w:p>
        </w:tc>
        <w:tc>
          <w:tcPr>
            <w:tcW w:w="1135" w:type="dxa"/>
            <w:tcBorders>
              <w:top w:val="single" w:sz="4" w:space="0" w:color="auto"/>
              <w:left w:val="nil"/>
              <w:right w:val="nil"/>
            </w:tcBorders>
            <w:shd w:val="clear" w:color="auto" w:fill="DBE5F1" w:themeFill="accent1" w:themeFillTint="33"/>
            <w:noWrap/>
            <w:vAlign w:val="center"/>
            <w:hideMark/>
          </w:tcPr>
          <w:p w14:paraId="175F1140" w14:textId="77777777" w:rsidR="00365765" w:rsidRPr="00001423" w:rsidRDefault="00365765" w:rsidP="0056420D">
            <w:pPr>
              <w:spacing w:line="240" w:lineRule="auto"/>
              <w:jc w:val="right"/>
              <w:rPr>
                <w:rFonts w:eastAsia="Times New Roman" w:cs="Arial"/>
                <w:lang w:eastAsia="da-DK"/>
              </w:rPr>
            </w:pPr>
          </w:p>
        </w:tc>
        <w:tc>
          <w:tcPr>
            <w:tcW w:w="868" w:type="dxa"/>
            <w:tcBorders>
              <w:top w:val="single" w:sz="4" w:space="0" w:color="auto"/>
              <w:left w:val="nil"/>
              <w:right w:val="nil"/>
            </w:tcBorders>
            <w:shd w:val="clear" w:color="auto" w:fill="DBE5F1" w:themeFill="accent1" w:themeFillTint="33"/>
            <w:vAlign w:val="center"/>
          </w:tcPr>
          <w:p w14:paraId="35258357" w14:textId="77777777" w:rsidR="00365765" w:rsidRPr="00001423" w:rsidRDefault="00365765" w:rsidP="0056420D">
            <w:pPr>
              <w:spacing w:line="240" w:lineRule="auto"/>
              <w:jc w:val="right"/>
              <w:rPr>
                <w:rFonts w:eastAsia="Times New Roman" w:cs="Arial"/>
                <w:lang w:eastAsia="da-DK"/>
              </w:rPr>
            </w:pPr>
          </w:p>
        </w:tc>
      </w:tr>
      <w:tr w:rsidR="00365765" w:rsidRPr="00001423" w14:paraId="0551C693" w14:textId="77777777" w:rsidTr="0056420D">
        <w:trPr>
          <w:trHeight w:val="299"/>
        </w:trPr>
        <w:tc>
          <w:tcPr>
            <w:tcW w:w="5102" w:type="dxa"/>
            <w:tcBorders>
              <w:top w:val="nil"/>
              <w:left w:val="nil"/>
              <w:bottom w:val="single" w:sz="4" w:space="0" w:color="auto"/>
              <w:right w:val="nil"/>
            </w:tcBorders>
            <w:shd w:val="clear" w:color="auto" w:fill="DBE5F1" w:themeFill="accent1" w:themeFillTint="33"/>
            <w:noWrap/>
            <w:vAlign w:val="center"/>
            <w:hideMark/>
          </w:tcPr>
          <w:p w14:paraId="740BFCF6" w14:textId="77777777" w:rsidR="00365765" w:rsidRPr="00001423" w:rsidRDefault="00365765" w:rsidP="0056420D">
            <w:pPr>
              <w:spacing w:line="240" w:lineRule="auto"/>
              <w:rPr>
                <w:rFonts w:eastAsia="Times New Roman" w:cs="Arial"/>
                <w:lang w:eastAsia="da-DK"/>
              </w:rPr>
            </w:pPr>
            <w:r>
              <w:rPr>
                <w:rFonts w:eastAsia="Times New Roman" w:cs="Arial"/>
                <w:lang w:eastAsia="da-DK"/>
              </w:rPr>
              <w:t>Samlede udgifter til administration i magistratsafdeling</w:t>
            </w:r>
          </w:p>
        </w:tc>
        <w:tc>
          <w:tcPr>
            <w:tcW w:w="1135" w:type="dxa"/>
            <w:tcBorders>
              <w:top w:val="nil"/>
              <w:left w:val="nil"/>
              <w:bottom w:val="single" w:sz="4" w:space="0" w:color="auto"/>
              <w:right w:val="nil"/>
            </w:tcBorders>
            <w:shd w:val="clear" w:color="auto" w:fill="DBE5F1" w:themeFill="accent1" w:themeFillTint="33"/>
            <w:noWrap/>
            <w:vAlign w:val="center"/>
            <w:hideMark/>
          </w:tcPr>
          <w:p w14:paraId="0AF471AA" w14:textId="77777777" w:rsidR="00365765" w:rsidRPr="00001423" w:rsidRDefault="00365765" w:rsidP="0056420D">
            <w:pPr>
              <w:spacing w:before="60" w:after="60" w:line="240" w:lineRule="auto"/>
              <w:jc w:val="right"/>
              <w:rPr>
                <w:rFonts w:cs="Arial"/>
                <w:color w:val="000000"/>
              </w:rPr>
            </w:pPr>
            <w:r>
              <w:rPr>
                <w:rFonts w:cs="Arial"/>
                <w:color w:val="000000"/>
              </w:rPr>
              <w:t>152.265</w:t>
            </w:r>
          </w:p>
        </w:tc>
        <w:tc>
          <w:tcPr>
            <w:tcW w:w="868" w:type="dxa"/>
            <w:tcBorders>
              <w:top w:val="nil"/>
              <w:left w:val="nil"/>
              <w:bottom w:val="single" w:sz="4" w:space="0" w:color="auto"/>
              <w:right w:val="nil"/>
            </w:tcBorders>
            <w:shd w:val="clear" w:color="auto" w:fill="DBE5F1" w:themeFill="accent1" w:themeFillTint="33"/>
            <w:noWrap/>
            <w:vAlign w:val="center"/>
            <w:hideMark/>
          </w:tcPr>
          <w:p w14:paraId="5EB949D1" w14:textId="77777777" w:rsidR="00365765" w:rsidRPr="005F6EF5" w:rsidRDefault="00365765" w:rsidP="0056420D">
            <w:pPr>
              <w:spacing w:before="60" w:after="60" w:line="240" w:lineRule="auto"/>
              <w:jc w:val="right"/>
              <w:rPr>
                <w:rFonts w:cs="Arial"/>
                <w:color w:val="000000"/>
              </w:rPr>
            </w:pPr>
            <w:r w:rsidRPr="005F6EF5">
              <w:rPr>
                <w:rFonts w:cs="Arial"/>
                <w:color w:val="000000"/>
              </w:rPr>
              <w:t>187.140</w:t>
            </w:r>
          </w:p>
        </w:tc>
      </w:tr>
      <w:tr w:rsidR="00365765" w:rsidRPr="00001423" w14:paraId="39794B18" w14:textId="77777777" w:rsidTr="0056420D">
        <w:trPr>
          <w:trHeight w:val="299"/>
        </w:trPr>
        <w:tc>
          <w:tcPr>
            <w:tcW w:w="5102" w:type="dxa"/>
            <w:tcBorders>
              <w:top w:val="single" w:sz="4" w:space="0" w:color="auto"/>
              <w:left w:val="nil"/>
              <w:bottom w:val="dashed" w:sz="4" w:space="0" w:color="auto"/>
              <w:right w:val="nil"/>
            </w:tcBorders>
            <w:shd w:val="clear" w:color="auto" w:fill="DBE5F1" w:themeFill="accent1" w:themeFillTint="33"/>
            <w:noWrap/>
            <w:vAlign w:val="center"/>
          </w:tcPr>
          <w:p w14:paraId="2D3B9B3E" w14:textId="77777777" w:rsidR="00365765" w:rsidRDefault="00365765" w:rsidP="0056420D">
            <w:pPr>
              <w:spacing w:line="240" w:lineRule="auto"/>
              <w:rPr>
                <w:rFonts w:eastAsia="Times New Roman" w:cs="Arial"/>
                <w:lang w:eastAsia="da-DK"/>
              </w:rPr>
            </w:pPr>
            <w:r>
              <w:rPr>
                <w:rFonts w:eastAsia="Times New Roman" w:cs="Arial"/>
                <w:lang w:eastAsia="da-DK"/>
              </w:rPr>
              <w:t>Administrative besparelser</w:t>
            </w:r>
          </w:p>
        </w:tc>
        <w:tc>
          <w:tcPr>
            <w:tcW w:w="1135" w:type="dxa"/>
            <w:tcBorders>
              <w:top w:val="single" w:sz="4" w:space="0" w:color="auto"/>
              <w:left w:val="nil"/>
              <w:bottom w:val="dashed" w:sz="4" w:space="0" w:color="auto"/>
              <w:right w:val="nil"/>
            </w:tcBorders>
            <w:shd w:val="clear" w:color="auto" w:fill="DBE5F1" w:themeFill="accent1" w:themeFillTint="33"/>
            <w:noWrap/>
            <w:vAlign w:val="center"/>
          </w:tcPr>
          <w:p w14:paraId="62BF68F2" w14:textId="77777777" w:rsidR="00365765" w:rsidRDefault="00365765" w:rsidP="0056420D">
            <w:pPr>
              <w:spacing w:before="60" w:after="60" w:line="240" w:lineRule="auto"/>
              <w:jc w:val="right"/>
            </w:pPr>
            <w:r>
              <w:t>8.000</w:t>
            </w:r>
          </w:p>
        </w:tc>
        <w:tc>
          <w:tcPr>
            <w:tcW w:w="868" w:type="dxa"/>
            <w:tcBorders>
              <w:top w:val="single" w:sz="4" w:space="0" w:color="auto"/>
              <w:left w:val="nil"/>
              <w:bottom w:val="dashed" w:sz="4" w:space="0" w:color="auto"/>
              <w:right w:val="nil"/>
            </w:tcBorders>
            <w:shd w:val="clear" w:color="auto" w:fill="DBE5F1" w:themeFill="accent1" w:themeFillTint="33"/>
            <w:noWrap/>
            <w:vAlign w:val="center"/>
          </w:tcPr>
          <w:p w14:paraId="6429FA6E" w14:textId="77777777" w:rsidR="00365765" w:rsidRDefault="00365765" w:rsidP="0056420D">
            <w:pPr>
              <w:spacing w:before="60" w:after="60" w:line="240" w:lineRule="auto"/>
              <w:jc w:val="right"/>
            </w:pPr>
            <w:r>
              <w:t>10.700</w:t>
            </w:r>
          </w:p>
        </w:tc>
      </w:tr>
      <w:tr w:rsidR="00365765" w:rsidRPr="00001423" w14:paraId="154D86F0" w14:textId="77777777" w:rsidTr="0056420D">
        <w:trPr>
          <w:trHeight w:val="299"/>
        </w:trPr>
        <w:tc>
          <w:tcPr>
            <w:tcW w:w="5102" w:type="dxa"/>
            <w:tcBorders>
              <w:top w:val="dashed" w:sz="4" w:space="0" w:color="auto"/>
              <w:left w:val="nil"/>
              <w:bottom w:val="nil"/>
              <w:right w:val="nil"/>
            </w:tcBorders>
            <w:shd w:val="clear" w:color="auto" w:fill="DBE5F1" w:themeFill="accent1" w:themeFillTint="33"/>
            <w:noWrap/>
            <w:vAlign w:val="center"/>
          </w:tcPr>
          <w:p w14:paraId="7D42983B" w14:textId="77777777" w:rsidR="00365765" w:rsidRDefault="00365765" w:rsidP="0056420D">
            <w:pPr>
              <w:spacing w:line="240" w:lineRule="auto"/>
              <w:rPr>
                <w:rFonts w:eastAsia="Times New Roman" w:cs="Arial"/>
                <w:lang w:eastAsia="da-DK"/>
              </w:rPr>
            </w:pPr>
            <w:r>
              <w:rPr>
                <w:rFonts w:eastAsia="Times New Roman" w:cs="Arial"/>
                <w:lang w:eastAsia="da-DK"/>
              </w:rPr>
              <w:t>Samlede udgifter decentralt</w:t>
            </w:r>
          </w:p>
        </w:tc>
        <w:tc>
          <w:tcPr>
            <w:tcW w:w="1135" w:type="dxa"/>
            <w:tcBorders>
              <w:top w:val="dashed" w:sz="4" w:space="0" w:color="auto"/>
              <w:left w:val="nil"/>
              <w:bottom w:val="nil"/>
              <w:right w:val="nil"/>
            </w:tcBorders>
            <w:shd w:val="clear" w:color="auto" w:fill="DBE5F1" w:themeFill="accent1" w:themeFillTint="33"/>
            <w:noWrap/>
            <w:vAlign w:val="center"/>
          </w:tcPr>
          <w:p w14:paraId="7ED6F854" w14:textId="77777777" w:rsidR="00365765" w:rsidRPr="00915DD3" w:rsidRDefault="00365765" w:rsidP="0056420D">
            <w:pPr>
              <w:spacing w:before="60" w:after="60" w:line="240" w:lineRule="auto"/>
              <w:jc w:val="right"/>
            </w:pPr>
            <w:r>
              <w:t>0</w:t>
            </w:r>
          </w:p>
        </w:tc>
        <w:tc>
          <w:tcPr>
            <w:tcW w:w="868" w:type="dxa"/>
            <w:tcBorders>
              <w:top w:val="dashed" w:sz="4" w:space="0" w:color="auto"/>
              <w:left w:val="nil"/>
              <w:bottom w:val="nil"/>
              <w:right w:val="nil"/>
            </w:tcBorders>
            <w:shd w:val="clear" w:color="auto" w:fill="DBE5F1" w:themeFill="accent1" w:themeFillTint="33"/>
            <w:noWrap/>
            <w:vAlign w:val="center"/>
          </w:tcPr>
          <w:p w14:paraId="1801BA1C" w14:textId="77777777" w:rsidR="00365765" w:rsidRPr="00915DD3" w:rsidRDefault="00365765" w:rsidP="0056420D">
            <w:pPr>
              <w:spacing w:before="60" w:after="60" w:line="240" w:lineRule="auto"/>
              <w:jc w:val="right"/>
            </w:pPr>
            <w:r>
              <w:t>0</w:t>
            </w:r>
          </w:p>
        </w:tc>
      </w:tr>
      <w:tr w:rsidR="00365765" w:rsidRPr="00201E60" w14:paraId="4FA2667F" w14:textId="77777777" w:rsidTr="0056420D">
        <w:trPr>
          <w:trHeight w:val="299"/>
        </w:trPr>
        <w:tc>
          <w:tcPr>
            <w:tcW w:w="5102" w:type="dxa"/>
            <w:tcBorders>
              <w:top w:val="nil"/>
              <w:left w:val="nil"/>
              <w:right w:val="nil"/>
            </w:tcBorders>
            <w:shd w:val="clear" w:color="auto" w:fill="DBE5F1" w:themeFill="accent1" w:themeFillTint="33"/>
            <w:noWrap/>
            <w:vAlign w:val="center"/>
            <w:hideMark/>
          </w:tcPr>
          <w:p w14:paraId="5A3E5298" w14:textId="77777777" w:rsidR="00365765" w:rsidRPr="000059C5" w:rsidRDefault="00365765" w:rsidP="0056420D">
            <w:pPr>
              <w:spacing w:line="240" w:lineRule="auto"/>
              <w:rPr>
                <w:rFonts w:eastAsia="Times New Roman" w:cs="Arial"/>
                <w:i/>
                <w:iCs/>
                <w:lang w:eastAsia="da-DK"/>
              </w:rPr>
            </w:pPr>
            <w:r w:rsidRPr="000059C5">
              <w:rPr>
                <w:rFonts w:eastAsia="Times New Roman" w:cs="Arial"/>
                <w:i/>
                <w:iCs/>
                <w:lang w:eastAsia="da-DK"/>
              </w:rPr>
              <w:t>- heraf</w:t>
            </w:r>
            <w:r>
              <w:rPr>
                <w:rFonts w:eastAsia="Times New Roman" w:cs="Arial"/>
                <w:i/>
                <w:iCs/>
                <w:lang w:eastAsia="da-DK"/>
              </w:rPr>
              <w:t xml:space="preserve"> administrative besparelser</w:t>
            </w:r>
            <w:r w:rsidRPr="000059C5">
              <w:rPr>
                <w:rFonts w:eastAsia="Times New Roman" w:cs="Arial"/>
                <w:i/>
                <w:iCs/>
                <w:lang w:eastAsia="da-DK"/>
              </w:rPr>
              <w:t xml:space="preserve"> decentralt</w:t>
            </w:r>
          </w:p>
        </w:tc>
        <w:tc>
          <w:tcPr>
            <w:tcW w:w="1135" w:type="dxa"/>
            <w:tcBorders>
              <w:top w:val="nil"/>
              <w:left w:val="nil"/>
              <w:right w:val="nil"/>
            </w:tcBorders>
            <w:shd w:val="clear" w:color="auto" w:fill="DBE5F1" w:themeFill="accent1" w:themeFillTint="33"/>
            <w:noWrap/>
            <w:vAlign w:val="center"/>
            <w:hideMark/>
          </w:tcPr>
          <w:p w14:paraId="23F36DE8" w14:textId="77777777" w:rsidR="00365765" w:rsidRPr="008C574B" w:rsidRDefault="00365765" w:rsidP="0056420D">
            <w:pPr>
              <w:spacing w:before="60" w:after="60" w:line="240" w:lineRule="auto"/>
              <w:jc w:val="right"/>
              <w:rPr>
                <w:i/>
                <w:iCs/>
              </w:rPr>
            </w:pPr>
            <w:r w:rsidRPr="008C574B">
              <w:rPr>
                <w:i/>
                <w:iCs/>
              </w:rPr>
              <w:t>0</w:t>
            </w:r>
          </w:p>
        </w:tc>
        <w:tc>
          <w:tcPr>
            <w:tcW w:w="868" w:type="dxa"/>
            <w:tcBorders>
              <w:top w:val="nil"/>
              <w:left w:val="nil"/>
              <w:right w:val="nil"/>
            </w:tcBorders>
            <w:shd w:val="clear" w:color="auto" w:fill="DBE5F1" w:themeFill="accent1" w:themeFillTint="33"/>
            <w:noWrap/>
            <w:vAlign w:val="center"/>
            <w:hideMark/>
          </w:tcPr>
          <w:p w14:paraId="4CCC2B35" w14:textId="77777777" w:rsidR="00365765" w:rsidRPr="008C574B" w:rsidRDefault="00365765" w:rsidP="0056420D">
            <w:pPr>
              <w:spacing w:before="60" w:after="60" w:line="240" w:lineRule="auto"/>
              <w:jc w:val="right"/>
              <w:rPr>
                <w:rFonts w:cs="Arial"/>
                <w:i/>
                <w:iCs/>
                <w:color w:val="000000"/>
              </w:rPr>
            </w:pPr>
            <w:r w:rsidRPr="008C574B">
              <w:rPr>
                <w:rFonts w:cs="Arial"/>
                <w:i/>
                <w:iCs/>
                <w:color w:val="000000"/>
              </w:rPr>
              <w:t>0</w:t>
            </w:r>
          </w:p>
        </w:tc>
      </w:tr>
      <w:tr w:rsidR="00365765" w:rsidRPr="00001423" w14:paraId="4D743294" w14:textId="77777777" w:rsidTr="0056420D">
        <w:trPr>
          <w:trHeight w:val="299"/>
        </w:trPr>
        <w:tc>
          <w:tcPr>
            <w:tcW w:w="5102" w:type="dxa"/>
            <w:tcBorders>
              <w:top w:val="nil"/>
              <w:left w:val="nil"/>
              <w:right w:val="nil"/>
            </w:tcBorders>
            <w:shd w:val="clear" w:color="auto" w:fill="DBE5F1" w:themeFill="accent1" w:themeFillTint="33"/>
            <w:noWrap/>
            <w:vAlign w:val="center"/>
          </w:tcPr>
          <w:p w14:paraId="2442F29A" w14:textId="77777777" w:rsidR="00365765" w:rsidRPr="000059C5" w:rsidRDefault="00365765" w:rsidP="0056420D">
            <w:pPr>
              <w:spacing w:line="240" w:lineRule="auto"/>
              <w:rPr>
                <w:rFonts w:eastAsia="Times New Roman" w:cs="Arial"/>
                <w:i/>
                <w:iCs/>
                <w:lang w:eastAsia="da-DK"/>
              </w:rPr>
            </w:pPr>
            <w:r>
              <w:rPr>
                <w:rFonts w:eastAsia="Times New Roman" w:cs="Arial"/>
                <w:lang w:eastAsia="da-DK"/>
              </w:rPr>
              <w:t>Samlede udgifter centralt</w:t>
            </w:r>
          </w:p>
        </w:tc>
        <w:tc>
          <w:tcPr>
            <w:tcW w:w="1135" w:type="dxa"/>
            <w:tcBorders>
              <w:top w:val="nil"/>
              <w:left w:val="nil"/>
              <w:right w:val="nil"/>
            </w:tcBorders>
            <w:shd w:val="clear" w:color="auto" w:fill="DBE5F1" w:themeFill="accent1" w:themeFillTint="33"/>
            <w:noWrap/>
            <w:vAlign w:val="center"/>
          </w:tcPr>
          <w:p w14:paraId="3761B6F7" w14:textId="77777777" w:rsidR="00365765" w:rsidRPr="00915DD3" w:rsidRDefault="00365765" w:rsidP="0056420D">
            <w:pPr>
              <w:spacing w:before="60" w:after="60" w:line="240" w:lineRule="auto"/>
              <w:jc w:val="right"/>
            </w:pPr>
            <w:r>
              <w:t>475.154</w:t>
            </w:r>
          </w:p>
        </w:tc>
        <w:tc>
          <w:tcPr>
            <w:tcW w:w="868" w:type="dxa"/>
            <w:tcBorders>
              <w:top w:val="nil"/>
              <w:left w:val="nil"/>
              <w:right w:val="nil"/>
            </w:tcBorders>
            <w:shd w:val="clear" w:color="auto" w:fill="DBE5F1" w:themeFill="accent1" w:themeFillTint="33"/>
            <w:noWrap/>
            <w:vAlign w:val="center"/>
          </w:tcPr>
          <w:p w14:paraId="3AB50456" w14:textId="77777777" w:rsidR="00365765" w:rsidRPr="00915DD3" w:rsidRDefault="00365765" w:rsidP="0056420D">
            <w:pPr>
              <w:spacing w:before="60" w:after="60" w:line="240" w:lineRule="auto"/>
              <w:jc w:val="right"/>
            </w:pPr>
            <w:r w:rsidRPr="005F6EF5">
              <w:t>482</w:t>
            </w:r>
            <w:r>
              <w:t>.</w:t>
            </w:r>
            <w:r w:rsidRPr="005F6EF5">
              <w:t>425</w:t>
            </w:r>
          </w:p>
        </w:tc>
      </w:tr>
      <w:tr w:rsidR="00365765" w:rsidRPr="00001423" w14:paraId="45A38718" w14:textId="77777777" w:rsidTr="0056420D">
        <w:trPr>
          <w:trHeight w:val="299"/>
        </w:trPr>
        <w:tc>
          <w:tcPr>
            <w:tcW w:w="5102" w:type="dxa"/>
            <w:tcBorders>
              <w:top w:val="nil"/>
              <w:left w:val="nil"/>
              <w:bottom w:val="single" w:sz="4" w:space="0" w:color="auto"/>
              <w:right w:val="nil"/>
            </w:tcBorders>
            <w:shd w:val="clear" w:color="auto" w:fill="DBE5F1" w:themeFill="accent1" w:themeFillTint="33"/>
            <w:noWrap/>
            <w:vAlign w:val="center"/>
            <w:hideMark/>
          </w:tcPr>
          <w:p w14:paraId="7DC541B6" w14:textId="77777777" w:rsidR="00365765" w:rsidRPr="000059C5" w:rsidRDefault="00365765" w:rsidP="0056420D">
            <w:pPr>
              <w:spacing w:line="240" w:lineRule="auto"/>
              <w:rPr>
                <w:rFonts w:eastAsia="Times New Roman" w:cs="Arial"/>
                <w:i/>
                <w:iCs/>
                <w:lang w:eastAsia="da-DK"/>
              </w:rPr>
            </w:pPr>
            <w:r w:rsidRPr="000059C5">
              <w:rPr>
                <w:rFonts w:eastAsia="Times New Roman" w:cs="Arial"/>
                <w:i/>
                <w:iCs/>
                <w:lang w:eastAsia="da-DK"/>
              </w:rPr>
              <w:t>- heraf</w:t>
            </w:r>
            <w:r>
              <w:rPr>
                <w:rFonts w:eastAsia="Times New Roman" w:cs="Arial"/>
                <w:i/>
                <w:iCs/>
                <w:lang w:eastAsia="da-DK"/>
              </w:rPr>
              <w:t xml:space="preserve"> administrative besparelser</w:t>
            </w:r>
            <w:r w:rsidRPr="000059C5">
              <w:rPr>
                <w:rFonts w:eastAsia="Times New Roman" w:cs="Arial"/>
                <w:i/>
                <w:iCs/>
                <w:lang w:eastAsia="da-DK"/>
              </w:rPr>
              <w:t xml:space="preserve"> centralt</w:t>
            </w:r>
          </w:p>
        </w:tc>
        <w:tc>
          <w:tcPr>
            <w:tcW w:w="1135" w:type="dxa"/>
            <w:tcBorders>
              <w:top w:val="nil"/>
              <w:left w:val="nil"/>
              <w:bottom w:val="single" w:sz="4" w:space="0" w:color="auto"/>
              <w:right w:val="nil"/>
            </w:tcBorders>
            <w:shd w:val="clear" w:color="auto" w:fill="DBE5F1" w:themeFill="accent1" w:themeFillTint="33"/>
            <w:noWrap/>
            <w:vAlign w:val="center"/>
            <w:hideMark/>
          </w:tcPr>
          <w:p w14:paraId="1376DD2E" w14:textId="77777777" w:rsidR="00365765" w:rsidRPr="008C574B" w:rsidRDefault="00365765" w:rsidP="0056420D">
            <w:pPr>
              <w:spacing w:before="60" w:after="60" w:line="240" w:lineRule="auto"/>
              <w:jc w:val="right"/>
              <w:rPr>
                <w:rFonts w:cs="Arial"/>
                <w:i/>
                <w:iCs/>
                <w:color w:val="000000"/>
              </w:rPr>
            </w:pPr>
            <w:r w:rsidRPr="008C574B">
              <w:rPr>
                <w:rFonts w:cs="Arial"/>
                <w:i/>
                <w:iCs/>
                <w:color w:val="000000"/>
              </w:rPr>
              <w:t>8.000</w:t>
            </w:r>
          </w:p>
        </w:tc>
        <w:tc>
          <w:tcPr>
            <w:tcW w:w="868" w:type="dxa"/>
            <w:tcBorders>
              <w:top w:val="nil"/>
              <w:left w:val="nil"/>
              <w:bottom w:val="single" w:sz="4" w:space="0" w:color="auto"/>
              <w:right w:val="nil"/>
            </w:tcBorders>
            <w:shd w:val="clear" w:color="auto" w:fill="DBE5F1" w:themeFill="accent1" w:themeFillTint="33"/>
            <w:noWrap/>
            <w:vAlign w:val="center"/>
            <w:hideMark/>
          </w:tcPr>
          <w:p w14:paraId="520FDD24" w14:textId="77777777" w:rsidR="00365765" w:rsidRPr="008C574B" w:rsidRDefault="00365765" w:rsidP="0056420D">
            <w:pPr>
              <w:spacing w:before="60" w:after="60" w:line="240" w:lineRule="auto"/>
              <w:jc w:val="right"/>
              <w:rPr>
                <w:rFonts w:cs="Arial"/>
                <w:i/>
                <w:iCs/>
                <w:color w:val="000000"/>
              </w:rPr>
            </w:pPr>
            <w:r w:rsidRPr="008C574B">
              <w:rPr>
                <w:i/>
                <w:iCs/>
              </w:rPr>
              <w:t>10.700</w:t>
            </w:r>
          </w:p>
        </w:tc>
      </w:tr>
    </w:tbl>
    <w:p w14:paraId="0D004495" w14:textId="77777777" w:rsidR="001D1818" w:rsidRPr="001D1818" w:rsidRDefault="001D1818" w:rsidP="001D1818"/>
    <w:sectPr w:rsidR="001D1818" w:rsidRPr="001D1818" w:rsidSect="00936F0C">
      <w:headerReference w:type="default" r:id="rId12"/>
      <w:footerReference w:type="default" r:id="rId13"/>
      <w:headerReference w:type="first" r:id="rId14"/>
      <w:pgSz w:w="11906" w:h="16838" w:code="9"/>
      <w:pgMar w:top="3402" w:right="368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C1874" w14:textId="77777777" w:rsidR="00E2791E" w:rsidRPr="00077871" w:rsidRDefault="00E2791E" w:rsidP="00FF1D88">
      <w:pPr>
        <w:spacing w:line="240" w:lineRule="auto"/>
      </w:pPr>
      <w:r w:rsidRPr="00077871">
        <w:separator/>
      </w:r>
    </w:p>
  </w:endnote>
  <w:endnote w:type="continuationSeparator" w:id="0">
    <w:p w14:paraId="419B8D65" w14:textId="77777777" w:rsidR="00E2791E" w:rsidRPr="00077871" w:rsidRDefault="00E2791E" w:rsidP="00FF1D88">
      <w:pPr>
        <w:spacing w:line="240" w:lineRule="auto"/>
      </w:pPr>
      <w:r w:rsidRPr="0007787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3BDA7" w14:textId="77777777" w:rsidR="00E628A5" w:rsidRPr="00077871" w:rsidRDefault="00E628A5" w:rsidP="00207C48">
    <w:pPr>
      <w:pStyle w:val="Sidefod"/>
      <w:tabs>
        <w:tab w:val="clear" w:pos="4819"/>
        <w:tab w:val="clear" w:pos="9638"/>
        <w:tab w:val="left" w:pos="6124"/>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833EB" w14:textId="77777777" w:rsidR="00E2791E" w:rsidRPr="00077871" w:rsidRDefault="00E2791E" w:rsidP="00FF1D88">
      <w:pPr>
        <w:spacing w:line="240" w:lineRule="auto"/>
      </w:pPr>
      <w:r w:rsidRPr="00077871">
        <w:separator/>
      </w:r>
    </w:p>
  </w:footnote>
  <w:footnote w:type="continuationSeparator" w:id="0">
    <w:p w14:paraId="39F57D7C" w14:textId="77777777" w:rsidR="00E2791E" w:rsidRPr="00077871" w:rsidRDefault="00E2791E" w:rsidP="00FF1D88">
      <w:pPr>
        <w:spacing w:line="240" w:lineRule="auto"/>
      </w:pPr>
      <w:r w:rsidRPr="0007787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pPr w:vertAnchor="page" w:horzAnchor="page" w:tblpX="8619" w:tblpY="374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Caption w:val="Dato og sidetal"/>
      <w:tblDescription w:val="Dato og sidetal"/>
    </w:tblPr>
    <w:tblGrid>
      <w:gridCol w:w="2948"/>
    </w:tblGrid>
    <w:tr w:rsidR="00E628A5" w:rsidRPr="00077871" w14:paraId="15A1EC58" w14:textId="77777777" w:rsidTr="0099101F">
      <w:trPr>
        <w:trHeight w:val="1134"/>
      </w:trPr>
      <w:tc>
        <w:tcPr>
          <w:tcW w:w="2948" w:type="dxa"/>
        </w:tcPr>
        <w:p w14:paraId="1DA987F9" w14:textId="08DFEA9E" w:rsidR="00E628A5" w:rsidRPr="00077871" w:rsidRDefault="00F25D03" w:rsidP="00077871">
          <w:pPr>
            <w:pStyle w:val="Afsender"/>
            <w:framePr w:wrap="auto" w:vAnchor="margin" w:hAnchor="text" w:xAlign="left" w:yAlign="inline"/>
            <w:suppressOverlap w:val="0"/>
          </w:pPr>
          <w:r>
            <w:rPr>
              <w:rFonts w:cs="Arial"/>
            </w:rPr>
            <w:t>23</w:t>
          </w:r>
          <w:r w:rsidR="00077871" w:rsidRPr="00077871">
            <w:rPr>
              <w:rFonts w:cs="Arial"/>
            </w:rPr>
            <w:t xml:space="preserve">. </w:t>
          </w:r>
          <w:r w:rsidR="00583770">
            <w:rPr>
              <w:rFonts w:cs="Arial"/>
            </w:rPr>
            <w:t>juni</w:t>
          </w:r>
          <w:r w:rsidR="00077871" w:rsidRPr="00077871">
            <w:rPr>
              <w:rFonts w:cs="Arial"/>
            </w:rPr>
            <w:t xml:space="preserve"> 2025</w:t>
          </w:r>
        </w:p>
        <w:p w14:paraId="0BD215FB" w14:textId="518A9ED2" w:rsidR="00E628A5" w:rsidRPr="00077871" w:rsidRDefault="00077871" w:rsidP="00077871">
          <w:pPr>
            <w:pStyle w:val="Afsender"/>
            <w:framePr w:wrap="auto" w:vAnchor="margin" w:hAnchor="text" w:xAlign="left" w:yAlign="inline"/>
            <w:suppressOverlap w:val="0"/>
          </w:pPr>
          <w:r w:rsidRPr="00077871">
            <w:rPr>
              <w:rFonts w:cs="Arial"/>
            </w:rPr>
            <w:t>Side</w:t>
          </w:r>
          <w:r w:rsidR="00E628A5" w:rsidRPr="00077871">
            <w:t xml:space="preserve"> </w:t>
          </w:r>
          <w:r w:rsidR="00B17D21" w:rsidRPr="00077871">
            <w:fldChar w:fldCharType="begin"/>
          </w:r>
          <w:r w:rsidR="00B17D21" w:rsidRPr="00077871">
            <w:instrText xml:space="preserve"> PAGE   \* MERGEFORMAT </w:instrText>
          </w:r>
          <w:r w:rsidR="00B17D21" w:rsidRPr="00077871">
            <w:fldChar w:fldCharType="separate"/>
          </w:r>
          <w:r w:rsidR="005A25BD" w:rsidRPr="00077871">
            <w:rPr>
              <w:noProof/>
            </w:rPr>
            <w:t>1</w:t>
          </w:r>
          <w:r w:rsidR="00B17D21" w:rsidRPr="00077871">
            <w:rPr>
              <w:noProof/>
            </w:rPr>
            <w:fldChar w:fldCharType="end"/>
          </w:r>
          <w:r w:rsidR="00E628A5" w:rsidRPr="00077871">
            <w:t xml:space="preserve"> </w:t>
          </w:r>
          <w:r w:rsidRPr="00077871">
            <w:rPr>
              <w:rFonts w:cs="Arial"/>
            </w:rPr>
            <w:t>af</w:t>
          </w:r>
          <w:r w:rsidR="00E628A5" w:rsidRPr="00077871">
            <w:t xml:space="preserve"> </w:t>
          </w:r>
          <w:fldSimple w:instr=" NUMPAGES   \* MERGEFORMAT ">
            <w:r w:rsidR="005A25BD" w:rsidRPr="00077871">
              <w:rPr>
                <w:noProof/>
              </w:rPr>
              <w:t>1</w:t>
            </w:r>
          </w:fldSimple>
        </w:p>
      </w:tc>
    </w:tr>
  </w:tbl>
  <w:p w14:paraId="7FF49B3F" w14:textId="3175BCB8" w:rsidR="00E628A5" w:rsidRPr="00077871" w:rsidRDefault="00077871" w:rsidP="00D84B8F">
    <w:r>
      <w:rPr>
        <w:noProof/>
      </w:rPr>
      <w:drawing>
        <wp:anchor distT="0" distB="0" distL="114300" distR="114300" simplePos="0" relativeHeight="251658240" behindDoc="1" locked="0" layoutInCell="1" allowOverlap="1" wp14:anchorId="0CD5A4E8" wp14:editId="0071F2F1">
          <wp:simplePos x="0" y="0"/>
          <wp:positionH relativeFrom="page">
            <wp:posOffset>5471795</wp:posOffset>
          </wp:positionH>
          <wp:positionV relativeFrom="page">
            <wp:posOffset>467995</wp:posOffset>
          </wp:positionV>
          <wp:extent cx="624840" cy="880745"/>
          <wp:effectExtent l="0" t="0" r="3810" b="0"/>
          <wp:wrapNone/>
          <wp:docPr id="943681407" name="Billede 1" descr="Logo" title="Logo"/>
          <wp:cNvGraphicFramePr/>
          <a:graphic xmlns:a="http://schemas.openxmlformats.org/drawingml/2006/main">
            <a:graphicData uri="http://schemas.openxmlformats.org/drawingml/2006/picture">
              <pic:pic xmlns:pic="http://schemas.openxmlformats.org/drawingml/2006/picture">
                <pic:nvPicPr>
                  <pic:cNvPr id="59527244"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624840" cy="8807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pPr w:vertAnchor="page" w:horzAnchor="page" w:tblpX="8619" w:tblpY="374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48"/>
    </w:tblGrid>
    <w:tr w:rsidR="00E628A5" w:rsidRPr="00077871" w14:paraId="17C4941F" w14:textId="77777777" w:rsidTr="001E0834">
      <w:trPr>
        <w:trHeight w:val="1134"/>
      </w:trPr>
      <w:tc>
        <w:tcPr>
          <w:tcW w:w="2948" w:type="dxa"/>
        </w:tcPr>
        <w:p w14:paraId="43CF1009" w14:textId="77777777" w:rsidR="00E628A5" w:rsidRPr="00077871" w:rsidRDefault="00E628A5" w:rsidP="003C1177">
          <w:pPr>
            <w:pStyle w:val="Afsender"/>
            <w:framePr w:wrap="auto" w:vAnchor="margin" w:hAnchor="text" w:xAlign="left" w:yAlign="inline"/>
            <w:suppressOverlap w:val="0"/>
          </w:pPr>
        </w:p>
        <w:p w14:paraId="79A70700" w14:textId="77777777" w:rsidR="00E628A5" w:rsidRPr="00077871" w:rsidRDefault="00E628A5" w:rsidP="003C1177">
          <w:pPr>
            <w:pStyle w:val="Afsender"/>
            <w:framePr w:wrap="auto" w:vAnchor="margin" w:hAnchor="text" w:xAlign="left" w:yAlign="inline"/>
            <w:suppressOverlap w:val="0"/>
          </w:pPr>
          <w:r w:rsidRPr="00077871">
            <w:t xml:space="preserve">Side </w:t>
          </w:r>
          <w:r w:rsidR="00B17D21" w:rsidRPr="00077871">
            <w:fldChar w:fldCharType="begin"/>
          </w:r>
          <w:r w:rsidR="00B17D21" w:rsidRPr="00077871">
            <w:instrText xml:space="preserve"> PAGE   \* MERGEFORMAT </w:instrText>
          </w:r>
          <w:r w:rsidR="00B17D21" w:rsidRPr="00077871">
            <w:fldChar w:fldCharType="separate"/>
          </w:r>
          <w:r w:rsidRPr="00077871">
            <w:rPr>
              <w:noProof/>
            </w:rPr>
            <w:t>1</w:t>
          </w:r>
          <w:r w:rsidR="00B17D21" w:rsidRPr="00077871">
            <w:rPr>
              <w:noProof/>
            </w:rPr>
            <w:fldChar w:fldCharType="end"/>
          </w:r>
          <w:r w:rsidRPr="00077871">
            <w:t xml:space="preserve"> af </w:t>
          </w:r>
          <w:fldSimple w:instr=" NUMPAGES   \* MERGEFORMAT ">
            <w:r w:rsidRPr="00077871">
              <w:rPr>
                <w:noProof/>
              </w:rPr>
              <w:t>1</w:t>
            </w:r>
          </w:fldSimple>
        </w:p>
      </w:tc>
    </w:tr>
  </w:tbl>
  <w:p w14:paraId="6B732C52" w14:textId="77777777" w:rsidR="00E628A5" w:rsidRPr="00077871" w:rsidRDefault="00E628A5">
    <w:pPr>
      <w:pStyle w:val="Sidehoved"/>
    </w:pPr>
  </w:p>
  <w:p w14:paraId="3C78356F" w14:textId="77777777" w:rsidR="00E628A5" w:rsidRPr="00077871" w:rsidRDefault="00E628A5">
    <w:pPr>
      <w:pStyle w:val="Sidehoved"/>
    </w:pPr>
  </w:p>
  <w:p w14:paraId="6AA6AFAD" w14:textId="77777777" w:rsidR="00E628A5" w:rsidRPr="00077871" w:rsidRDefault="00E628A5">
    <w:pPr>
      <w:pStyle w:val="Sidehoved"/>
    </w:pPr>
  </w:p>
  <w:p w14:paraId="17AE5D36" w14:textId="77777777" w:rsidR="00E628A5" w:rsidRPr="00077871" w:rsidRDefault="00E628A5">
    <w:pPr>
      <w:pStyle w:val="Sidehoved"/>
    </w:pPr>
  </w:p>
  <w:p w14:paraId="173AA089" w14:textId="77777777" w:rsidR="00E628A5" w:rsidRPr="00077871" w:rsidRDefault="00E628A5">
    <w:pPr>
      <w:pStyle w:val="Sidehoved"/>
    </w:pPr>
  </w:p>
  <w:p w14:paraId="3F2D58EC" w14:textId="77777777" w:rsidR="00E628A5" w:rsidRPr="00077871" w:rsidRDefault="00E628A5">
    <w:pPr>
      <w:pStyle w:val="Sidehoved"/>
    </w:pPr>
  </w:p>
  <w:p w14:paraId="49B93591" w14:textId="77777777" w:rsidR="00E628A5" w:rsidRPr="00077871" w:rsidRDefault="00E628A5">
    <w:pPr>
      <w:pStyle w:val="Sidehoved"/>
    </w:pPr>
  </w:p>
  <w:p w14:paraId="6148E1BA" w14:textId="77777777" w:rsidR="00E628A5" w:rsidRPr="00077871" w:rsidRDefault="00E628A5">
    <w:pPr>
      <w:pStyle w:val="Sidehoved"/>
    </w:pPr>
  </w:p>
  <w:p w14:paraId="4408858C" w14:textId="77777777" w:rsidR="00E628A5" w:rsidRPr="00077871" w:rsidRDefault="00E628A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FA56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E539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9F1BF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E5B3090"/>
    <w:multiLevelType w:val="hybridMultilevel"/>
    <w:tmpl w:val="87009E16"/>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4" w15:restartNumberingAfterBreak="0">
    <w:nsid w:val="7F566858"/>
    <w:multiLevelType w:val="hybridMultilevel"/>
    <w:tmpl w:val="ACA272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53849108">
    <w:abstractNumId w:val="2"/>
  </w:num>
  <w:num w:numId="2" w16cid:durableId="9337231">
    <w:abstractNumId w:val="1"/>
  </w:num>
  <w:num w:numId="3" w16cid:durableId="811606265">
    <w:abstractNumId w:val="0"/>
  </w:num>
  <w:num w:numId="4" w16cid:durableId="2033337007">
    <w:abstractNumId w:val="4"/>
  </w:num>
  <w:num w:numId="5" w16cid:durableId="1243879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304"/>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9-13T10:55:44.3852539+02:00&quot;,&quot;Checksum&quot;:&quot;9dc0a6daae3a5e3912f0a7dc43ca23a3&quot;,&quot;IsAccessible&quot;:false,&quot;Settings&quot;:{&quot;CreatePdfUa&quot;:2}}"/>
    <w:docVar w:name="AttachedTemplatePath" w:val="AK Notat.dotm"/>
    <w:docVar w:name="CreatedWithDtVersion" w:val="2.13.004"/>
    <w:docVar w:name="DocumentCreated" w:val="DocumentCreated"/>
    <w:docVar w:name="DocumentCreatedOK" w:val="DocumentCreatedOK"/>
    <w:docVar w:name="DocumentInitialized" w:val="OK"/>
    <w:docVar w:name="Encrypted_CloudStatistics_DocumentCreation" w:val="jdVW2FK8uI0YHzTHPTEY1w=="/>
    <w:docVar w:name="Encrypted_CloudStatistics_StoryID" w:val="EMNCVtKnHqzcDc7Hhx3kGIp7Egv0DP05cruq4eQISzCk2eT7yq9i1kfY7xIUBZK2"/>
    <w:docVar w:name="Encrypted_DialogFieldValue_cancelbutton" w:val="Go1BF8BBsJqqGsR1izlsvQ=="/>
    <w:docVar w:name="Encrypted_DialogFieldValue_docheader" w:val="NwUcykftHv4gefp7ztJYxYzlWEG6+/v/gZZJt00uRsFYHiBzom5AOvJcyYdHWxiiKLNdFUWHUn+4dk2yvcqsZ8m+HOw73XHolW2OSas0BXo="/>
    <w:docVar w:name="Encrypted_DialogFieldValue_documentdate" w:val="/jlky4b0pY4+DuxfDD4ikg=="/>
    <w:docVar w:name="Encrypted_DialogFieldValue_finduserbutton" w:val="Go1BF8BBsJqqGsR1izlsvQ=="/>
    <w:docVar w:name="Encrypted_DialogFieldValue_languagedk" w:val="jdVW2FK8uI0YHzTHPTEY1w=="/>
    <w:docVar w:name="Encrypted_DialogFieldValue_languageen" w:val="Go1BF8BBsJqqGsR1izlsvQ=="/>
    <w:docVar w:name="Encrypted_DialogFieldValue_networkprofileuserid" w:val="s1DNk9KvacrF4ZIXLUYaqQ=="/>
    <w:docVar w:name="Encrypted_DialogFieldValue_okbutton" w:val="Go1BF8BBsJqqGsR1izlsvQ=="/>
    <w:docVar w:name="Encrypted_DialogFieldValue_senderaddress" w:val="55205kpltNU/4Vq/poA+uBS9psvk5Loib8v563Cmyf8="/>
    <w:docVar w:name="Encrypted_DialogFieldValue_sendercity" w:val="GrOMlljyFSHznAGnXuaczg=="/>
    <w:docVar w:name="Encrypted_DialogFieldValue_senderdepartment" w:val="4buayTXTTbABahEgxb+uCisa04+3obyI08EdGRWcuPY="/>
    <w:docVar w:name="Encrypted_DialogFieldValue_senderdivision" w:val="FTn0jB6eJyXFr2Oi6ynF3smpKKEKZnq7NWpVgZ7D4/8="/>
    <w:docVar w:name="Encrypted_DialogFieldValue_sendername" w:val="kO8QSr1EA1vuA16suya7xEolYdqak/Z8AcIv5J3TCSc="/>
    <w:docVar w:name="Encrypted_DialogFieldValue_senderoffice" w:val="8AVNEwtyMRcA+kj+Jp7h7jV38SCtOH1YyOWlg/IE+4k="/>
    <w:docVar w:name="Encrypted_DialogFieldValue_senderphonedir" w:val="klyhAQxqRK2LMZhv4lg/Dg=="/>
    <w:docVar w:name="Encrypted_DialogFieldValue_senderpostalcode" w:val="Dye1rDxB7opeEw8dpVpr0A=="/>
    <w:docVar w:name="Encrypted_DialogFieldValue_showlocalprofiles" w:val="Go1BF8BBsJqqGsR1izlsvQ=="/>
    <w:docVar w:name="Encrypted_DialogFieldValue_shownetworkprofiles" w:val="jdVW2FK8uI0YHzTHPTEY1w=="/>
    <w:docVar w:name="Encrypted_DocumentChangeThisVar" w:val="Go1BF8BBsJqqGsR1izlsvQ=="/>
    <w:docVar w:name="IntegrationType" w:val="StandAlone"/>
  </w:docVars>
  <w:rsids>
    <w:rsidRoot w:val="00077871"/>
    <w:rsid w:val="00004777"/>
    <w:rsid w:val="00005F27"/>
    <w:rsid w:val="00007DC9"/>
    <w:rsid w:val="000233D9"/>
    <w:rsid w:val="000245CB"/>
    <w:rsid w:val="00026257"/>
    <w:rsid w:val="000263A2"/>
    <w:rsid w:val="00033776"/>
    <w:rsid w:val="00033A99"/>
    <w:rsid w:val="0004418F"/>
    <w:rsid w:val="000477C3"/>
    <w:rsid w:val="000502F1"/>
    <w:rsid w:val="00051182"/>
    <w:rsid w:val="000511E5"/>
    <w:rsid w:val="00055051"/>
    <w:rsid w:val="000568A5"/>
    <w:rsid w:val="00056B7A"/>
    <w:rsid w:val="00057F98"/>
    <w:rsid w:val="0007115D"/>
    <w:rsid w:val="00072501"/>
    <w:rsid w:val="00073892"/>
    <w:rsid w:val="00074370"/>
    <w:rsid w:val="00075A3F"/>
    <w:rsid w:val="00077871"/>
    <w:rsid w:val="0008005B"/>
    <w:rsid w:val="0008455C"/>
    <w:rsid w:val="0009080F"/>
    <w:rsid w:val="00097510"/>
    <w:rsid w:val="00097EF3"/>
    <w:rsid w:val="000A478B"/>
    <w:rsid w:val="000A7B82"/>
    <w:rsid w:val="000B64FA"/>
    <w:rsid w:val="000B6521"/>
    <w:rsid w:val="000B6C0B"/>
    <w:rsid w:val="000B7B55"/>
    <w:rsid w:val="000C1809"/>
    <w:rsid w:val="000C4989"/>
    <w:rsid w:val="000D45EA"/>
    <w:rsid w:val="000D46BF"/>
    <w:rsid w:val="000E0D29"/>
    <w:rsid w:val="000E4161"/>
    <w:rsid w:val="000F0507"/>
    <w:rsid w:val="000F20FD"/>
    <w:rsid w:val="000F5B01"/>
    <w:rsid w:val="001008B7"/>
    <w:rsid w:val="0010162B"/>
    <w:rsid w:val="001022B7"/>
    <w:rsid w:val="0011368A"/>
    <w:rsid w:val="0012227D"/>
    <w:rsid w:val="00134914"/>
    <w:rsid w:val="00144A70"/>
    <w:rsid w:val="001533DF"/>
    <w:rsid w:val="001542EA"/>
    <w:rsid w:val="00171A13"/>
    <w:rsid w:val="00174468"/>
    <w:rsid w:val="001745C6"/>
    <w:rsid w:val="00176FFC"/>
    <w:rsid w:val="001A16EF"/>
    <w:rsid w:val="001A4753"/>
    <w:rsid w:val="001A5849"/>
    <w:rsid w:val="001A5B66"/>
    <w:rsid w:val="001B0748"/>
    <w:rsid w:val="001B1247"/>
    <w:rsid w:val="001B383A"/>
    <w:rsid w:val="001B4F71"/>
    <w:rsid w:val="001C0128"/>
    <w:rsid w:val="001C0824"/>
    <w:rsid w:val="001D1450"/>
    <w:rsid w:val="001D1818"/>
    <w:rsid w:val="001E0834"/>
    <w:rsid w:val="001E1F0D"/>
    <w:rsid w:val="001E2987"/>
    <w:rsid w:val="001F383B"/>
    <w:rsid w:val="001F493E"/>
    <w:rsid w:val="00207C48"/>
    <w:rsid w:val="0021443B"/>
    <w:rsid w:val="00226E57"/>
    <w:rsid w:val="00230D2F"/>
    <w:rsid w:val="002366B2"/>
    <w:rsid w:val="00237D3A"/>
    <w:rsid w:val="002457D9"/>
    <w:rsid w:val="00250C91"/>
    <w:rsid w:val="00250F2B"/>
    <w:rsid w:val="00251387"/>
    <w:rsid w:val="00252D78"/>
    <w:rsid w:val="00254D18"/>
    <w:rsid w:val="00262AB4"/>
    <w:rsid w:val="002741D7"/>
    <w:rsid w:val="00282402"/>
    <w:rsid w:val="0029262F"/>
    <w:rsid w:val="002954EF"/>
    <w:rsid w:val="00295825"/>
    <w:rsid w:val="002976E6"/>
    <w:rsid w:val="002A0516"/>
    <w:rsid w:val="002A26A6"/>
    <w:rsid w:val="002B081A"/>
    <w:rsid w:val="002C24FD"/>
    <w:rsid w:val="002C3939"/>
    <w:rsid w:val="002C3964"/>
    <w:rsid w:val="002C7F3C"/>
    <w:rsid w:val="002D219C"/>
    <w:rsid w:val="002D5EF1"/>
    <w:rsid w:val="002D7838"/>
    <w:rsid w:val="002E4746"/>
    <w:rsid w:val="002E636E"/>
    <w:rsid w:val="002F67D7"/>
    <w:rsid w:val="00305743"/>
    <w:rsid w:val="00306439"/>
    <w:rsid w:val="00307DDC"/>
    <w:rsid w:val="003136C1"/>
    <w:rsid w:val="00314EFD"/>
    <w:rsid w:val="003175D2"/>
    <w:rsid w:val="00321299"/>
    <w:rsid w:val="00325859"/>
    <w:rsid w:val="00326D42"/>
    <w:rsid w:val="00330543"/>
    <w:rsid w:val="00331302"/>
    <w:rsid w:val="00336D6D"/>
    <w:rsid w:val="003513A4"/>
    <w:rsid w:val="00352DE1"/>
    <w:rsid w:val="00361522"/>
    <w:rsid w:val="00363281"/>
    <w:rsid w:val="00365765"/>
    <w:rsid w:val="00371E43"/>
    <w:rsid w:val="00375272"/>
    <w:rsid w:val="00376B5A"/>
    <w:rsid w:val="00377E76"/>
    <w:rsid w:val="0038401E"/>
    <w:rsid w:val="003862D7"/>
    <w:rsid w:val="00387D0A"/>
    <w:rsid w:val="003909E5"/>
    <w:rsid w:val="00392C7E"/>
    <w:rsid w:val="003940D4"/>
    <w:rsid w:val="003947CC"/>
    <w:rsid w:val="00395B9D"/>
    <w:rsid w:val="00396DDB"/>
    <w:rsid w:val="003A38B6"/>
    <w:rsid w:val="003A394C"/>
    <w:rsid w:val="003A6211"/>
    <w:rsid w:val="003A7B7B"/>
    <w:rsid w:val="003A7D3F"/>
    <w:rsid w:val="003B238E"/>
    <w:rsid w:val="003B67E6"/>
    <w:rsid w:val="003C1177"/>
    <w:rsid w:val="003C16DA"/>
    <w:rsid w:val="003C2754"/>
    <w:rsid w:val="003C573B"/>
    <w:rsid w:val="003D0935"/>
    <w:rsid w:val="003D3499"/>
    <w:rsid w:val="003D35F1"/>
    <w:rsid w:val="003D4E07"/>
    <w:rsid w:val="003D5935"/>
    <w:rsid w:val="003E3E7C"/>
    <w:rsid w:val="003F1D86"/>
    <w:rsid w:val="003F2EB1"/>
    <w:rsid w:val="003F5FFB"/>
    <w:rsid w:val="00413E55"/>
    <w:rsid w:val="00415C04"/>
    <w:rsid w:val="004301EB"/>
    <w:rsid w:val="00433AA1"/>
    <w:rsid w:val="00436BD6"/>
    <w:rsid w:val="00441AA7"/>
    <w:rsid w:val="00446B22"/>
    <w:rsid w:val="00446F9B"/>
    <w:rsid w:val="00447F63"/>
    <w:rsid w:val="0045198D"/>
    <w:rsid w:val="00453594"/>
    <w:rsid w:val="00460225"/>
    <w:rsid w:val="00463ABE"/>
    <w:rsid w:val="00476CF4"/>
    <w:rsid w:val="0048028F"/>
    <w:rsid w:val="00493CCF"/>
    <w:rsid w:val="004964B2"/>
    <w:rsid w:val="00496E00"/>
    <w:rsid w:val="004977A1"/>
    <w:rsid w:val="004A0162"/>
    <w:rsid w:val="004A269D"/>
    <w:rsid w:val="004A2D5F"/>
    <w:rsid w:val="004A68BD"/>
    <w:rsid w:val="004A79FF"/>
    <w:rsid w:val="004B0D50"/>
    <w:rsid w:val="004B33B4"/>
    <w:rsid w:val="004C03EB"/>
    <w:rsid w:val="004C3CDE"/>
    <w:rsid w:val="004C4651"/>
    <w:rsid w:val="004C74E9"/>
    <w:rsid w:val="004D6030"/>
    <w:rsid w:val="004E0EDB"/>
    <w:rsid w:val="004E1FE8"/>
    <w:rsid w:val="004E2D24"/>
    <w:rsid w:val="004E4207"/>
    <w:rsid w:val="004E7FFB"/>
    <w:rsid w:val="004F5FF3"/>
    <w:rsid w:val="004F7B38"/>
    <w:rsid w:val="0050140F"/>
    <w:rsid w:val="0050215E"/>
    <w:rsid w:val="005026A8"/>
    <w:rsid w:val="005027C3"/>
    <w:rsid w:val="0050534D"/>
    <w:rsid w:val="005105E4"/>
    <w:rsid w:val="00511564"/>
    <w:rsid w:val="005122FB"/>
    <w:rsid w:val="00517EEF"/>
    <w:rsid w:val="005223A5"/>
    <w:rsid w:val="00527D39"/>
    <w:rsid w:val="00531184"/>
    <w:rsid w:val="005362B5"/>
    <w:rsid w:val="0054245A"/>
    <w:rsid w:val="005449C7"/>
    <w:rsid w:val="005474E3"/>
    <w:rsid w:val="005529B1"/>
    <w:rsid w:val="00554AC8"/>
    <w:rsid w:val="00557386"/>
    <w:rsid w:val="00564141"/>
    <w:rsid w:val="00564D41"/>
    <w:rsid w:val="00567739"/>
    <w:rsid w:val="00567921"/>
    <w:rsid w:val="0057033A"/>
    <w:rsid w:val="00571100"/>
    <w:rsid w:val="00571C2B"/>
    <w:rsid w:val="00571F27"/>
    <w:rsid w:val="005749A6"/>
    <w:rsid w:val="00582536"/>
    <w:rsid w:val="00583770"/>
    <w:rsid w:val="0058613E"/>
    <w:rsid w:val="00593E52"/>
    <w:rsid w:val="0059649A"/>
    <w:rsid w:val="005966FB"/>
    <w:rsid w:val="00596E3D"/>
    <w:rsid w:val="00597BA6"/>
    <w:rsid w:val="005A25BD"/>
    <w:rsid w:val="005A7C4B"/>
    <w:rsid w:val="005A7D8B"/>
    <w:rsid w:val="005B2A6C"/>
    <w:rsid w:val="005B3983"/>
    <w:rsid w:val="005B45DB"/>
    <w:rsid w:val="005C33AB"/>
    <w:rsid w:val="005C3F38"/>
    <w:rsid w:val="005D147F"/>
    <w:rsid w:val="005E2ED9"/>
    <w:rsid w:val="005E797E"/>
    <w:rsid w:val="005F132B"/>
    <w:rsid w:val="005F2834"/>
    <w:rsid w:val="005F2B36"/>
    <w:rsid w:val="005F3D9F"/>
    <w:rsid w:val="005F5352"/>
    <w:rsid w:val="00602890"/>
    <w:rsid w:val="00602C59"/>
    <w:rsid w:val="006031E3"/>
    <w:rsid w:val="0061161A"/>
    <w:rsid w:val="00617FED"/>
    <w:rsid w:val="00620C26"/>
    <w:rsid w:val="00630155"/>
    <w:rsid w:val="00637FF8"/>
    <w:rsid w:val="0064534C"/>
    <w:rsid w:val="00654101"/>
    <w:rsid w:val="00654448"/>
    <w:rsid w:val="00655ADC"/>
    <w:rsid w:val="00665586"/>
    <w:rsid w:val="006663D8"/>
    <w:rsid w:val="0067281D"/>
    <w:rsid w:val="00685A71"/>
    <w:rsid w:val="00687F40"/>
    <w:rsid w:val="006932A1"/>
    <w:rsid w:val="00696717"/>
    <w:rsid w:val="006970C7"/>
    <w:rsid w:val="006A1E3F"/>
    <w:rsid w:val="006A3C07"/>
    <w:rsid w:val="006A67D7"/>
    <w:rsid w:val="006A7D17"/>
    <w:rsid w:val="006B0E44"/>
    <w:rsid w:val="006C12DE"/>
    <w:rsid w:val="006D4235"/>
    <w:rsid w:val="006E00DE"/>
    <w:rsid w:val="006E70E4"/>
    <w:rsid w:val="006F28C4"/>
    <w:rsid w:val="006F2D04"/>
    <w:rsid w:val="006F40A9"/>
    <w:rsid w:val="007030F7"/>
    <w:rsid w:val="00703883"/>
    <w:rsid w:val="00710AFA"/>
    <w:rsid w:val="00713C7E"/>
    <w:rsid w:val="007151D6"/>
    <w:rsid w:val="00731138"/>
    <w:rsid w:val="00731D81"/>
    <w:rsid w:val="00733037"/>
    <w:rsid w:val="00735EE0"/>
    <w:rsid w:val="00741AFE"/>
    <w:rsid w:val="00746171"/>
    <w:rsid w:val="00753C3D"/>
    <w:rsid w:val="00760B4E"/>
    <w:rsid w:val="00777FA0"/>
    <w:rsid w:val="007A1887"/>
    <w:rsid w:val="007A2B34"/>
    <w:rsid w:val="007A7B7A"/>
    <w:rsid w:val="007B08F1"/>
    <w:rsid w:val="007B26F6"/>
    <w:rsid w:val="007B5CAD"/>
    <w:rsid w:val="007B66A4"/>
    <w:rsid w:val="007C3841"/>
    <w:rsid w:val="007C4515"/>
    <w:rsid w:val="007C6941"/>
    <w:rsid w:val="007D0498"/>
    <w:rsid w:val="007E3B53"/>
    <w:rsid w:val="007E5634"/>
    <w:rsid w:val="007F02CE"/>
    <w:rsid w:val="007F0B71"/>
    <w:rsid w:val="007F2E35"/>
    <w:rsid w:val="007F4FBA"/>
    <w:rsid w:val="007F6D00"/>
    <w:rsid w:val="00804E07"/>
    <w:rsid w:val="00823582"/>
    <w:rsid w:val="00825C46"/>
    <w:rsid w:val="00827955"/>
    <w:rsid w:val="008355C4"/>
    <w:rsid w:val="008458EC"/>
    <w:rsid w:val="008514EF"/>
    <w:rsid w:val="00851963"/>
    <w:rsid w:val="00854063"/>
    <w:rsid w:val="00855BF4"/>
    <w:rsid w:val="00857104"/>
    <w:rsid w:val="00861109"/>
    <w:rsid w:val="00865DF0"/>
    <w:rsid w:val="00872223"/>
    <w:rsid w:val="00876257"/>
    <w:rsid w:val="008819A8"/>
    <w:rsid w:val="0088210D"/>
    <w:rsid w:val="008847F2"/>
    <w:rsid w:val="008931EB"/>
    <w:rsid w:val="00894AAD"/>
    <w:rsid w:val="008A0792"/>
    <w:rsid w:val="008A21D2"/>
    <w:rsid w:val="008A4EA8"/>
    <w:rsid w:val="008A72A5"/>
    <w:rsid w:val="008B095E"/>
    <w:rsid w:val="008C11E7"/>
    <w:rsid w:val="008C574B"/>
    <w:rsid w:val="008D24CE"/>
    <w:rsid w:val="008D34FC"/>
    <w:rsid w:val="008D4B27"/>
    <w:rsid w:val="008D681F"/>
    <w:rsid w:val="008F29E8"/>
    <w:rsid w:val="008F5775"/>
    <w:rsid w:val="009016CB"/>
    <w:rsid w:val="00903E99"/>
    <w:rsid w:val="00906CB8"/>
    <w:rsid w:val="00906DB5"/>
    <w:rsid w:val="009134D5"/>
    <w:rsid w:val="00915AAD"/>
    <w:rsid w:val="009243DC"/>
    <w:rsid w:val="0093375B"/>
    <w:rsid w:val="00935589"/>
    <w:rsid w:val="0093693F"/>
    <w:rsid w:val="00936F0C"/>
    <w:rsid w:val="00942415"/>
    <w:rsid w:val="00964C0F"/>
    <w:rsid w:val="00966800"/>
    <w:rsid w:val="00975C80"/>
    <w:rsid w:val="0099101F"/>
    <w:rsid w:val="00992FCD"/>
    <w:rsid w:val="009931A0"/>
    <w:rsid w:val="009A036D"/>
    <w:rsid w:val="009A0633"/>
    <w:rsid w:val="009A2968"/>
    <w:rsid w:val="009A7BC4"/>
    <w:rsid w:val="009A7FA5"/>
    <w:rsid w:val="009B0D83"/>
    <w:rsid w:val="009B276A"/>
    <w:rsid w:val="009B41DD"/>
    <w:rsid w:val="009C1A00"/>
    <w:rsid w:val="009D0015"/>
    <w:rsid w:val="009D5FA1"/>
    <w:rsid w:val="009E20B2"/>
    <w:rsid w:val="009E6B87"/>
    <w:rsid w:val="009F03C0"/>
    <w:rsid w:val="009F1996"/>
    <w:rsid w:val="00A05902"/>
    <w:rsid w:val="00A0629A"/>
    <w:rsid w:val="00A1025D"/>
    <w:rsid w:val="00A310F1"/>
    <w:rsid w:val="00A33EBD"/>
    <w:rsid w:val="00A51742"/>
    <w:rsid w:val="00A52ADF"/>
    <w:rsid w:val="00A56C02"/>
    <w:rsid w:val="00A71DAE"/>
    <w:rsid w:val="00A824AD"/>
    <w:rsid w:val="00A94792"/>
    <w:rsid w:val="00A955A0"/>
    <w:rsid w:val="00AB4376"/>
    <w:rsid w:val="00AB5D80"/>
    <w:rsid w:val="00AC0908"/>
    <w:rsid w:val="00AC1D6F"/>
    <w:rsid w:val="00AD0FD5"/>
    <w:rsid w:val="00AD1D38"/>
    <w:rsid w:val="00AE4463"/>
    <w:rsid w:val="00AF32A5"/>
    <w:rsid w:val="00B15275"/>
    <w:rsid w:val="00B17D21"/>
    <w:rsid w:val="00B21E61"/>
    <w:rsid w:val="00B26742"/>
    <w:rsid w:val="00B306C5"/>
    <w:rsid w:val="00B313AF"/>
    <w:rsid w:val="00B31D33"/>
    <w:rsid w:val="00B32C32"/>
    <w:rsid w:val="00B4526F"/>
    <w:rsid w:val="00B477FF"/>
    <w:rsid w:val="00B54E78"/>
    <w:rsid w:val="00B609D0"/>
    <w:rsid w:val="00B65E50"/>
    <w:rsid w:val="00B66A68"/>
    <w:rsid w:val="00B704A7"/>
    <w:rsid w:val="00B84AE3"/>
    <w:rsid w:val="00B86C95"/>
    <w:rsid w:val="00B90362"/>
    <w:rsid w:val="00B9393C"/>
    <w:rsid w:val="00B96A20"/>
    <w:rsid w:val="00BA0939"/>
    <w:rsid w:val="00BA362A"/>
    <w:rsid w:val="00BA3FBA"/>
    <w:rsid w:val="00BA4260"/>
    <w:rsid w:val="00BB1CE4"/>
    <w:rsid w:val="00BB62CB"/>
    <w:rsid w:val="00BC1365"/>
    <w:rsid w:val="00BC3536"/>
    <w:rsid w:val="00BD5A9B"/>
    <w:rsid w:val="00BD65A5"/>
    <w:rsid w:val="00BE18DC"/>
    <w:rsid w:val="00BF30C1"/>
    <w:rsid w:val="00BF33CA"/>
    <w:rsid w:val="00BF63B2"/>
    <w:rsid w:val="00BF6571"/>
    <w:rsid w:val="00BF67B4"/>
    <w:rsid w:val="00C0198B"/>
    <w:rsid w:val="00C02DFB"/>
    <w:rsid w:val="00C0339F"/>
    <w:rsid w:val="00C12540"/>
    <w:rsid w:val="00C12D0A"/>
    <w:rsid w:val="00C15C75"/>
    <w:rsid w:val="00C22AB9"/>
    <w:rsid w:val="00C258E0"/>
    <w:rsid w:val="00C26D6C"/>
    <w:rsid w:val="00C2765E"/>
    <w:rsid w:val="00C30019"/>
    <w:rsid w:val="00C33A92"/>
    <w:rsid w:val="00C46EEC"/>
    <w:rsid w:val="00C60102"/>
    <w:rsid w:val="00C61A7D"/>
    <w:rsid w:val="00C61A87"/>
    <w:rsid w:val="00C61CA6"/>
    <w:rsid w:val="00C62606"/>
    <w:rsid w:val="00C64106"/>
    <w:rsid w:val="00C7331B"/>
    <w:rsid w:val="00C774B9"/>
    <w:rsid w:val="00C84146"/>
    <w:rsid w:val="00C85926"/>
    <w:rsid w:val="00C92516"/>
    <w:rsid w:val="00C95265"/>
    <w:rsid w:val="00CA7131"/>
    <w:rsid w:val="00CA7AEF"/>
    <w:rsid w:val="00CA7D58"/>
    <w:rsid w:val="00CB0C9A"/>
    <w:rsid w:val="00CB6687"/>
    <w:rsid w:val="00CB7875"/>
    <w:rsid w:val="00CC16A5"/>
    <w:rsid w:val="00CC396E"/>
    <w:rsid w:val="00CC61DF"/>
    <w:rsid w:val="00CD443F"/>
    <w:rsid w:val="00CE08EB"/>
    <w:rsid w:val="00CE146F"/>
    <w:rsid w:val="00CE1D22"/>
    <w:rsid w:val="00CF248F"/>
    <w:rsid w:val="00CF44E0"/>
    <w:rsid w:val="00CF5FBD"/>
    <w:rsid w:val="00D00938"/>
    <w:rsid w:val="00D11C2A"/>
    <w:rsid w:val="00D14996"/>
    <w:rsid w:val="00D2276B"/>
    <w:rsid w:val="00D23CC4"/>
    <w:rsid w:val="00D306DE"/>
    <w:rsid w:val="00D34231"/>
    <w:rsid w:val="00D40813"/>
    <w:rsid w:val="00D44C17"/>
    <w:rsid w:val="00D45F0A"/>
    <w:rsid w:val="00D47019"/>
    <w:rsid w:val="00D53A85"/>
    <w:rsid w:val="00D55857"/>
    <w:rsid w:val="00D61627"/>
    <w:rsid w:val="00D65294"/>
    <w:rsid w:val="00D7049B"/>
    <w:rsid w:val="00D7051B"/>
    <w:rsid w:val="00D714C6"/>
    <w:rsid w:val="00D76A22"/>
    <w:rsid w:val="00D77755"/>
    <w:rsid w:val="00D82AA5"/>
    <w:rsid w:val="00D83AD8"/>
    <w:rsid w:val="00D84363"/>
    <w:rsid w:val="00D84B8F"/>
    <w:rsid w:val="00D90401"/>
    <w:rsid w:val="00D942BF"/>
    <w:rsid w:val="00D94481"/>
    <w:rsid w:val="00D966EE"/>
    <w:rsid w:val="00DA1B60"/>
    <w:rsid w:val="00DA1F6B"/>
    <w:rsid w:val="00DA4093"/>
    <w:rsid w:val="00DA6188"/>
    <w:rsid w:val="00DB0638"/>
    <w:rsid w:val="00DB5E68"/>
    <w:rsid w:val="00DB6D93"/>
    <w:rsid w:val="00DB7A19"/>
    <w:rsid w:val="00DC6973"/>
    <w:rsid w:val="00DC7E82"/>
    <w:rsid w:val="00DD0F2A"/>
    <w:rsid w:val="00DE0530"/>
    <w:rsid w:val="00DE37D6"/>
    <w:rsid w:val="00DE53C9"/>
    <w:rsid w:val="00DE7F1D"/>
    <w:rsid w:val="00DF2DEF"/>
    <w:rsid w:val="00DF355C"/>
    <w:rsid w:val="00DF3EFB"/>
    <w:rsid w:val="00E00E9E"/>
    <w:rsid w:val="00E02BED"/>
    <w:rsid w:val="00E06F91"/>
    <w:rsid w:val="00E07F9B"/>
    <w:rsid w:val="00E1001B"/>
    <w:rsid w:val="00E14BF6"/>
    <w:rsid w:val="00E2197D"/>
    <w:rsid w:val="00E2791E"/>
    <w:rsid w:val="00E30B10"/>
    <w:rsid w:val="00E30F70"/>
    <w:rsid w:val="00E32C0D"/>
    <w:rsid w:val="00E32CFC"/>
    <w:rsid w:val="00E33451"/>
    <w:rsid w:val="00E417D9"/>
    <w:rsid w:val="00E429C3"/>
    <w:rsid w:val="00E44DA7"/>
    <w:rsid w:val="00E51D45"/>
    <w:rsid w:val="00E54DCF"/>
    <w:rsid w:val="00E5510A"/>
    <w:rsid w:val="00E628A5"/>
    <w:rsid w:val="00E66413"/>
    <w:rsid w:val="00E665CC"/>
    <w:rsid w:val="00E70EB3"/>
    <w:rsid w:val="00E71C30"/>
    <w:rsid w:val="00E734F8"/>
    <w:rsid w:val="00E73F7B"/>
    <w:rsid w:val="00E75935"/>
    <w:rsid w:val="00EA2982"/>
    <w:rsid w:val="00EA5F2C"/>
    <w:rsid w:val="00EB020C"/>
    <w:rsid w:val="00EB1F4F"/>
    <w:rsid w:val="00EB2626"/>
    <w:rsid w:val="00EB4435"/>
    <w:rsid w:val="00EB4BEF"/>
    <w:rsid w:val="00EC1FC5"/>
    <w:rsid w:val="00ED4001"/>
    <w:rsid w:val="00EE0A78"/>
    <w:rsid w:val="00EE408B"/>
    <w:rsid w:val="00EF132D"/>
    <w:rsid w:val="00EF2777"/>
    <w:rsid w:val="00EF5908"/>
    <w:rsid w:val="00F0350E"/>
    <w:rsid w:val="00F04578"/>
    <w:rsid w:val="00F05057"/>
    <w:rsid w:val="00F0696F"/>
    <w:rsid w:val="00F07295"/>
    <w:rsid w:val="00F12294"/>
    <w:rsid w:val="00F25A98"/>
    <w:rsid w:val="00F25D03"/>
    <w:rsid w:val="00F32C44"/>
    <w:rsid w:val="00F3536C"/>
    <w:rsid w:val="00F405C8"/>
    <w:rsid w:val="00F4214D"/>
    <w:rsid w:val="00F47B00"/>
    <w:rsid w:val="00F47D5F"/>
    <w:rsid w:val="00F50E77"/>
    <w:rsid w:val="00F517B2"/>
    <w:rsid w:val="00F53E32"/>
    <w:rsid w:val="00F570C8"/>
    <w:rsid w:val="00F6278A"/>
    <w:rsid w:val="00F62988"/>
    <w:rsid w:val="00F74B40"/>
    <w:rsid w:val="00F81B3E"/>
    <w:rsid w:val="00F84F59"/>
    <w:rsid w:val="00F8745D"/>
    <w:rsid w:val="00F9120C"/>
    <w:rsid w:val="00F91556"/>
    <w:rsid w:val="00F9230B"/>
    <w:rsid w:val="00F92627"/>
    <w:rsid w:val="00FA25FC"/>
    <w:rsid w:val="00FA3296"/>
    <w:rsid w:val="00FB0131"/>
    <w:rsid w:val="00FB35E2"/>
    <w:rsid w:val="00FC2C49"/>
    <w:rsid w:val="00FC39E9"/>
    <w:rsid w:val="00FC40CE"/>
    <w:rsid w:val="00FC508E"/>
    <w:rsid w:val="00FC634C"/>
    <w:rsid w:val="00FD5B13"/>
    <w:rsid w:val="00FE1B3E"/>
    <w:rsid w:val="00FE2083"/>
    <w:rsid w:val="00FE7676"/>
    <w:rsid w:val="00FE7BC5"/>
    <w:rsid w:val="00FF1D88"/>
    <w:rsid w:val="00FF6C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57B50"/>
  <w15:docId w15:val="{0B5F2E0F-227B-47C0-8D5F-43DE49B6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F1"/>
    <w:pPr>
      <w:spacing w:line="260" w:lineRule="atLeast"/>
    </w:pPr>
  </w:style>
  <w:style w:type="paragraph" w:styleId="Overskrift1">
    <w:name w:val="heading 1"/>
    <w:basedOn w:val="Normal"/>
    <w:next w:val="Normal"/>
    <w:link w:val="Overskrift1Tegn"/>
    <w:uiPriority w:val="9"/>
    <w:qFormat/>
    <w:rsid w:val="0029262F"/>
    <w:pPr>
      <w:keepNext/>
      <w:keepLines/>
      <w:outlineLvl w:val="0"/>
    </w:pPr>
    <w:rPr>
      <w:rFonts w:eastAsiaTheme="majorEastAsia" w:cstheme="majorBidi"/>
      <w:b/>
      <w:bCs/>
      <w:sz w:val="22"/>
      <w:szCs w:val="28"/>
    </w:rPr>
  </w:style>
  <w:style w:type="paragraph" w:styleId="Overskrift2">
    <w:name w:val="heading 2"/>
    <w:basedOn w:val="Normal"/>
    <w:next w:val="Normal"/>
    <w:link w:val="Overskrift2Tegn"/>
    <w:uiPriority w:val="9"/>
    <w:unhideWhenUsed/>
    <w:qFormat/>
    <w:rsid w:val="0029262F"/>
    <w:pPr>
      <w:keepNext/>
      <w:keepLines/>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29262F"/>
    <w:pPr>
      <w:keepNext/>
      <w:keepLines/>
      <w:outlineLvl w:val="2"/>
    </w:pPr>
    <w:rPr>
      <w:rFonts w:eastAsiaTheme="majorEastAsia"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9262F"/>
    <w:rPr>
      <w:rFonts w:ascii="Arial" w:eastAsiaTheme="majorEastAsia" w:hAnsi="Arial" w:cstheme="majorBidi"/>
      <w:b/>
      <w:bCs/>
      <w:sz w:val="22"/>
      <w:szCs w:val="28"/>
    </w:rPr>
  </w:style>
  <w:style w:type="character" w:customStyle="1" w:styleId="Overskrift2Tegn">
    <w:name w:val="Overskrift 2 Tegn"/>
    <w:basedOn w:val="Standardskrifttypeiafsnit"/>
    <w:link w:val="Overskrift2"/>
    <w:uiPriority w:val="9"/>
    <w:rsid w:val="0029262F"/>
    <w:rPr>
      <w:rFonts w:ascii="Arial" w:eastAsiaTheme="majorEastAsia" w:hAnsi="Arial" w:cstheme="majorBidi"/>
      <w:b/>
      <w:bCs/>
      <w:szCs w:val="26"/>
    </w:rPr>
  </w:style>
  <w:style w:type="character" w:customStyle="1" w:styleId="Overskrift3Tegn">
    <w:name w:val="Overskrift 3 Tegn"/>
    <w:basedOn w:val="Standardskrifttypeiafsnit"/>
    <w:link w:val="Overskrift3"/>
    <w:uiPriority w:val="9"/>
    <w:rsid w:val="0029262F"/>
    <w:rPr>
      <w:rFonts w:ascii="Arial" w:eastAsiaTheme="majorEastAsia" w:hAnsi="Arial" w:cstheme="majorBidi"/>
      <w:b/>
      <w:bCs/>
    </w:rPr>
  </w:style>
  <w:style w:type="character" w:styleId="Pladsholdertekst">
    <w:name w:val="Placeholder Text"/>
    <w:basedOn w:val="Standardskrifttypeiafsnit"/>
    <w:uiPriority w:val="99"/>
    <w:semiHidden/>
    <w:rsid w:val="008D681F"/>
    <w:rPr>
      <w:color w:val="808080"/>
    </w:rPr>
  </w:style>
  <w:style w:type="paragraph" w:styleId="Markeringsbobletekst">
    <w:name w:val="Balloon Text"/>
    <w:basedOn w:val="Normal"/>
    <w:link w:val="MarkeringsbobletekstTegn"/>
    <w:uiPriority w:val="99"/>
    <w:semiHidden/>
    <w:unhideWhenUsed/>
    <w:rsid w:val="008D681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D681F"/>
    <w:rPr>
      <w:rFonts w:ascii="Tahoma" w:hAnsi="Tahoma" w:cs="Tahoma"/>
      <w:sz w:val="16"/>
      <w:szCs w:val="16"/>
    </w:rPr>
  </w:style>
  <w:style w:type="paragraph" w:styleId="Sidehoved">
    <w:name w:val="header"/>
    <w:basedOn w:val="Normal"/>
    <w:link w:val="SidehovedTegn"/>
    <w:uiPriority w:val="99"/>
    <w:unhideWhenUsed/>
    <w:rsid w:val="00FF1D8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F1D88"/>
  </w:style>
  <w:style w:type="paragraph" w:styleId="Sidefod">
    <w:name w:val="footer"/>
    <w:basedOn w:val="Normal"/>
    <w:link w:val="SidefodTegn"/>
    <w:uiPriority w:val="99"/>
    <w:unhideWhenUsed/>
    <w:rsid w:val="00FF1D88"/>
    <w:pPr>
      <w:tabs>
        <w:tab w:val="center" w:pos="4819"/>
        <w:tab w:val="right" w:pos="9638"/>
      </w:tabs>
      <w:spacing w:line="240" w:lineRule="auto"/>
    </w:pPr>
  </w:style>
  <w:style w:type="character" w:customStyle="1" w:styleId="SidefodTegn">
    <w:name w:val="Sidefod Tegn"/>
    <w:basedOn w:val="Standardskrifttypeiafsnit"/>
    <w:link w:val="Sidefod"/>
    <w:uiPriority w:val="99"/>
    <w:rsid w:val="00FF1D88"/>
  </w:style>
  <w:style w:type="table" w:styleId="Tabel-Gitter">
    <w:name w:val="Table Grid"/>
    <w:basedOn w:val="Tabel-Normal"/>
    <w:uiPriority w:val="59"/>
    <w:rsid w:val="007B08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sender">
    <w:name w:val="Afsender"/>
    <w:basedOn w:val="Normal"/>
    <w:next w:val="Normal"/>
    <w:qFormat/>
    <w:rsid w:val="00D45F0A"/>
    <w:pPr>
      <w:framePr w:wrap="around" w:vAnchor="page" w:hAnchor="page" w:x="8506" w:y="3743"/>
      <w:spacing w:line="230" w:lineRule="atLeast"/>
      <w:suppressOverlap/>
    </w:pPr>
    <w:rPr>
      <w:sz w:val="19"/>
      <w:szCs w:val="19"/>
    </w:rPr>
  </w:style>
  <w:style w:type="paragraph" w:customStyle="1" w:styleId="Brevoverskrift">
    <w:name w:val="Brevoverskrift"/>
    <w:basedOn w:val="Normal"/>
    <w:next w:val="Normal"/>
    <w:rsid w:val="00596E3D"/>
    <w:pPr>
      <w:spacing w:line="240" w:lineRule="auto"/>
    </w:pPr>
    <w:rPr>
      <w:b/>
      <w:sz w:val="22"/>
    </w:rPr>
  </w:style>
  <w:style w:type="paragraph" w:styleId="Listeafsnit">
    <w:name w:val="List Paragraph"/>
    <w:basedOn w:val="Normal"/>
    <w:uiPriority w:val="34"/>
    <w:qFormat/>
    <w:rsid w:val="0029262F"/>
    <w:pPr>
      <w:ind w:left="720"/>
      <w:contextualSpacing/>
    </w:pPr>
  </w:style>
  <w:style w:type="paragraph" w:customStyle="1" w:styleId="AfsenderAfdeling">
    <w:name w:val="AfsenderAfdeling"/>
    <w:basedOn w:val="Afsender"/>
    <w:qFormat/>
    <w:rsid w:val="00F4214D"/>
    <w:pPr>
      <w:framePr w:wrap="around" w:x="8619" w:y="5302"/>
    </w:pPr>
    <w:rPr>
      <w:b/>
      <w:sz w:val="22"/>
    </w:rPr>
  </w:style>
  <w:style w:type="paragraph" w:customStyle="1" w:styleId="AfsenderFed">
    <w:name w:val="AfsenderFed"/>
    <w:basedOn w:val="Afsender"/>
    <w:qFormat/>
    <w:rsid w:val="00F4214D"/>
    <w:pPr>
      <w:framePr w:wrap="around" w:x="8619" w:y="5302"/>
    </w:pPr>
    <w:rPr>
      <w:b/>
    </w:rPr>
  </w:style>
  <w:style w:type="paragraph" w:customStyle="1" w:styleId="TabeloverskriftII">
    <w:name w:val="Tabeloverskrift II"/>
    <w:basedOn w:val="Normal"/>
    <w:link w:val="TabeloverskriftIITegn"/>
    <w:qFormat/>
    <w:rsid w:val="009D5FA1"/>
    <w:pPr>
      <w:spacing w:line="340" w:lineRule="atLeast"/>
      <w:ind w:left="-1134"/>
    </w:pPr>
    <w:rPr>
      <w:rFonts w:ascii="Verdana" w:hAnsi="Verdana" w:cstheme="minorBidi"/>
      <w:color w:val="000000" w:themeColor="text1"/>
      <w:sz w:val="22"/>
      <w:szCs w:val="22"/>
    </w:rPr>
  </w:style>
  <w:style w:type="character" w:customStyle="1" w:styleId="TabeloverskriftIITegn">
    <w:name w:val="Tabeloverskrift II Tegn"/>
    <w:basedOn w:val="Standardskrifttypeiafsnit"/>
    <w:link w:val="TabeloverskriftII"/>
    <w:rsid w:val="009D5FA1"/>
    <w:rPr>
      <w:rFonts w:ascii="Verdana" w:hAnsi="Verdana" w:cstheme="minorBidi"/>
      <w:color w:val="000000" w:themeColor="text1"/>
      <w:sz w:val="22"/>
      <w:szCs w:val="22"/>
    </w:rPr>
  </w:style>
  <w:style w:type="paragraph" w:styleId="Korrektur">
    <w:name w:val="Revision"/>
    <w:hidden/>
    <w:uiPriority w:val="99"/>
    <w:semiHidden/>
    <w:rsid w:val="00B306C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1602">
      <w:bodyDiv w:val="1"/>
      <w:marLeft w:val="0"/>
      <w:marRight w:val="0"/>
      <w:marTop w:val="0"/>
      <w:marBottom w:val="0"/>
      <w:divBdr>
        <w:top w:val="none" w:sz="0" w:space="0" w:color="auto"/>
        <w:left w:val="none" w:sz="0" w:space="0" w:color="auto"/>
        <w:bottom w:val="none" w:sz="0" w:space="0" w:color="auto"/>
        <w:right w:val="none" w:sz="0" w:space="0" w:color="auto"/>
      </w:divBdr>
    </w:div>
    <w:div w:id="438372627">
      <w:bodyDiv w:val="1"/>
      <w:marLeft w:val="0"/>
      <w:marRight w:val="0"/>
      <w:marTop w:val="0"/>
      <w:marBottom w:val="0"/>
      <w:divBdr>
        <w:top w:val="none" w:sz="0" w:space="0" w:color="auto"/>
        <w:left w:val="none" w:sz="0" w:space="0" w:color="auto"/>
        <w:bottom w:val="none" w:sz="0" w:space="0" w:color="auto"/>
        <w:right w:val="none" w:sz="0" w:space="0" w:color="auto"/>
      </w:divBdr>
    </w:div>
    <w:div w:id="12611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m.aarhuskommune.dk\AAK\Hotel1\TDS\dynamictemplate\Skabeloner\AK%20Nota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C77995E30F7F9D4282BDDB46AC0740EA" ma:contentTypeVersion="0" ma:contentTypeDescription="GetOrganized dokument" ma:contentTypeScope="" ma:versionID="18bb5352dd1e236f6d51da82adec5d74">
  <xsd:schema xmlns:xsd="http://www.w3.org/2001/XMLSchema" xmlns:xs="http://www.w3.org/2001/XMLSchema" xmlns:p="http://schemas.microsoft.com/office/2006/metadata/properties" xmlns:ns1="http://schemas.microsoft.com/sharepoint/v3" xmlns:ns2="ff038efd-60d5-4198-a271-1b789e3e63e2" xmlns:ns3="896A8845-9EC2-4661-A90A-734E020065FB" xmlns:ns4="d9a82a76-de0f-4d9e-82fd-ca5fbd8e9260" targetNamespace="http://schemas.microsoft.com/office/2006/metadata/properties" ma:root="true" ma:fieldsID="53d86cedbfcac4f83f0520022a373a24" ns1:_="" ns2:_="" ns3:_="" ns4:_="">
    <xsd:import namespace="http://schemas.microsoft.com/sharepoint/v3"/>
    <xsd:import namespace="ff038efd-60d5-4198-a271-1b789e3e63e2"/>
    <xsd:import namespace="896A8845-9EC2-4661-A90A-734E020065FB"/>
    <xsd:import namespace="d9a82a76-de0f-4d9e-82fd-ca5fbd8e9260"/>
    <xsd:element name="properties">
      <xsd:complexType>
        <xsd:sequence>
          <xsd:element name="documentManagement">
            <xsd:complexType>
              <xsd:all>
                <xsd:element ref="ns2:Korrespondance"/>
                <xsd:element ref="ns2:CaseOwner" minOccurs="0"/>
                <xsd:element ref="ns2:Dato"/>
                <xsd:element ref="ns3:Frist" minOccurs="0"/>
                <xsd:element ref="ns2:Beskrivelse" minOccurs="0"/>
                <xsd:element ref="ns1:CCMCognitiveType" minOccurs="0"/>
                <xsd:element ref="ns3:Modtagere" minOccurs="0"/>
                <xsd:element ref="ns3:Part" minOccurs="0"/>
                <xsd:element ref="ns3:SvarPaa" minOccurs="0"/>
                <xsd:element ref="ns3:ErBesvaret" minOccurs="0"/>
                <xsd:element ref="ns3:CCMMeetingCaseLink" minOccurs="0"/>
                <xsd:element ref="ns3:Afsender" minOccurs="0"/>
                <xsd:element ref="ns3:Dokumentgruppe" minOccurs="0"/>
                <xsd:element ref="ns3:LongTitle" minOccurs="0"/>
                <xsd:element ref="ns3:EdocDocId" minOccurs="0"/>
                <xsd:element ref="ns3:EdocKorrespondance" minOccurs="0"/>
                <xsd:element ref="ns3:Forsendelsesdato" minOccurs="0"/>
                <xsd:element ref="ns3:CCMMustBeOnPostList" minOccurs="0"/>
                <xsd:element ref="ns3:PostListDate" minOccurs="0"/>
                <xsd:element ref="ns3:Afvisningsaarsag" minOccurs="0"/>
                <xsd:element ref="ns2:Classification" minOccurs="0"/>
                <xsd:element ref="ns1:CCMPageCount" minOccurs="0"/>
                <xsd:element ref="ns1:CCMCommentCount" minOccurs="0"/>
                <xsd:element ref="ns1:CCMPreviewAnnotationsTasks" minOccurs="0"/>
                <xsd:element ref="ns1:CCMMetadataExtractionStatus" minOccurs="0"/>
                <xsd:element ref="ns1:LocalAttachment"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CCMTemplateName" minOccurs="0"/>
                <xsd:element ref="ns1:CCMSubID" minOccurs="0"/>
                <xsd:element ref="ns1:CCMManageRelations" minOccurs="0"/>
                <xsd:element ref="ns4:TaxCatchAll" minOccurs="0"/>
                <xsd:element ref="ns3:CCMMeetingCaseId" minOccurs="0"/>
                <xsd:element ref="ns3:CCMAgendaItemId" minOccurs="0"/>
                <xsd:element ref="ns3:AgendaStatusIcon"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CCMAgendaDocumentStatus" minOccurs="0"/>
                <xsd:element ref="ns3:CCMAgendaStatus" minOccurs="0"/>
                <xsd:element ref="ns1:CCMOnlineStatus" minOccurs="0"/>
                <xsd:element ref="ns3:DeliveryStatus" minOccurs="0"/>
                <xsd:element ref="ns3:e98d1497e63448c0b4fc1021de4c39e7" minOccurs="0"/>
                <xsd:element ref="ns1:CCMPostListPublishStatus"/>
                <xsd:element ref="ns1:CCMWorkflowInstanceID" minOccurs="0"/>
                <xsd:element ref="ns1:CCMWorkflowStatus" minOccurs="0"/>
                <xsd:element ref="ns1:CCMWorkflowName" minOccurs="0"/>
                <xsd:element ref="ns1:CCMWorkflowSpecialAccess" minOccurs="0"/>
                <xsd:element ref="ns1:CCMWorkflowSpecialReadAccess" minOccurs="0"/>
                <xsd:element ref="ns1:CCMWorkflowDidBrokePermis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CMCognitiveType" ma:index="7" nillable="true" ma:displayName="CognitiveType" ma:decimals="0" ma:description="" ma:internalName="CCMCognitiveType" ma:readOnly="false">
      <xsd:simpleType>
        <xsd:restriction base="dms:Number"/>
      </xsd:simpleType>
    </xsd:element>
    <xsd:element name="CCMPageCount" ma:index="25" nillable="true" ma:displayName="Sider" ma:decimals="0" ma:description="" ma:internalName="CCMPageCount" ma:readOnly="true">
      <xsd:simpleType>
        <xsd:restriction base="dms:Number"/>
      </xsd:simpleType>
    </xsd:element>
    <xsd:element name="CCMCommentCount" ma:index="26" nillable="true" ma:displayName="Kommentarer" ma:decimals="0" ma:description="" ma:internalName="CCMCommentCount" ma:readOnly="true">
      <xsd:simpleType>
        <xsd:restriction base="dms:Number"/>
      </xsd:simpleType>
    </xsd:element>
    <xsd:element name="CCMPreviewAnnotationsTasks" ma:index="27" nillable="true" ma:displayName="Opgaver" ma:decimals="0" ma:description="" ma:internalName="CCMPreviewAnnotationsTasks" ma:readOnly="true">
      <xsd:simpleType>
        <xsd:restriction base="dms:Number"/>
      </xsd:simpleType>
    </xsd:element>
    <xsd:element name="CCMMetadataExtractionStatus" ma:index="28" nillable="true" ma:displayName="CCMMetadataExtractionStatus" ma:default="CCMPageCount:InProgress;CCMCommentCount:InProgress" ma:description="" ma:hidden="true" ma:internalName="CCMMetadataExtractionStatus" ma:readOnly="false">
      <xsd:simpleType>
        <xsd:restriction base="dms:Text"/>
      </xsd:simpleType>
    </xsd:element>
    <xsd:element name="LocalAttachment" ma:index="29" nillable="true" ma:displayName="Lokalt bilag" ma:default="False" ma:description="" ma:internalName="LocalAttachment" ma:readOnly="true">
      <xsd:simpleType>
        <xsd:restriction base="dms:Boolean"/>
      </xsd:simpleType>
    </xsd:element>
    <xsd:element name="CaseID" ma:index="34" nillable="true" ma:displayName="Sags ID" ma:default="Tildeler" ma:description="" ma:internalName="CaseID" ma:readOnly="true">
      <xsd:simpleType>
        <xsd:restriction base="dms:Text"/>
      </xsd:simpleType>
    </xsd:element>
    <xsd:element name="CCMVisualId" ma:index="36" nillable="true" ma:displayName="Sags ID" ma:default="Tildeler" ma:description="" ma:internalName="CCMVisualId" ma:readOnly="true">
      <xsd:simpleType>
        <xsd:restriction base="dms:Text"/>
      </xsd:simpleType>
    </xsd:element>
    <xsd:element name="DocID" ma:index="37" nillable="true" ma:displayName="Dok ID" ma:default="Tildeler" ma:description="" ma:internalName="DocID" ma:readOnly="true">
      <xsd:simpleType>
        <xsd:restriction base="dms:Text"/>
      </xsd:simpleType>
    </xsd:element>
    <xsd:element name="Finalized" ma:index="38" nillable="true" ma:displayName="Endeligt" ma:default="False" ma:description="" ma:internalName="Finalized" ma:readOnly="true">
      <xsd:simpleType>
        <xsd:restriction base="dms:Boolean"/>
      </xsd:simpleType>
    </xsd:element>
    <xsd:element name="Related" ma:index="39" nillable="true" ma:displayName="Vedhæftet dokument" ma:default="False" ma:description="" ma:internalName="Related" ma:readOnly="true">
      <xsd:simpleType>
        <xsd:restriction base="dms:Boolean"/>
      </xsd:simpleType>
    </xsd:element>
    <xsd:element name="RegistrationDate" ma:index="40" nillable="true" ma:displayName="Registreringsdato" ma:description="" ma:format="DateTime" ma:internalName="RegistrationDate" ma:readOnly="true">
      <xsd:simpleType>
        <xsd:restriction base="dms:DateTime"/>
      </xsd:simpleType>
    </xsd:element>
    <xsd:element name="CaseRecordNumber" ma:index="41" nillable="true" ma:displayName="Akt ID" ma:decimals="0" ma:default="0" ma:description="" ma:internalName="CaseRecordNumber" ma:readOnly="true">
      <xsd:simpleType>
        <xsd:restriction base="dms:Number"/>
      </xsd:simpleType>
    </xsd:element>
    <xsd:element name="CCMTemplateName" ma:index="42" nillable="true" ma:displayName="Skabelonnavn" ma:description="" ma:internalName="CCMTemplateName" ma:readOnly="true">
      <xsd:simpleType>
        <xsd:restriction base="dms:Text"/>
      </xsd:simpleType>
    </xsd:element>
    <xsd:element name="CCMSubID" ma:index="43" nillable="true" ma:displayName="UndersagsId" ma:description="" ma:internalName="CCMSubID" ma:readOnly="true">
      <xsd:simpleType>
        <xsd:restriction base="dms:Text">
          <xsd:maxLength value="255"/>
        </xsd:restriction>
      </xsd:simpleType>
    </xsd:element>
    <xsd:element name="CCMManageRelations" ma:index="44" nillable="true" ma:displayName="Bilag" ma:description="" ma:internalName="CCMManageRelations" ma:readOnly="true">
      <xsd:simpleType>
        <xsd:restriction base="dms:Text">
          <xsd:maxLength value="255"/>
        </xsd:restriction>
      </xsd:simpleType>
    </xsd:element>
    <xsd:element name="CCMTemplateVersion" ma:index="49" nillable="true" ma:displayName="Skabelonversion" ma:description="" ma:internalName="CCMTemplateVersion" ma:readOnly="true">
      <xsd:simpleType>
        <xsd:restriction base="dms:Text"/>
      </xsd:simpleType>
    </xsd:element>
    <xsd:element name="CCMTemplateID" ma:index="50" nillable="true" ma:displayName="CCMTemplateID" ma:decimals="0" ma:default="0" ma:description="" ma:hidden="true" ma:internalName="CCMTemplateID" ma:readOnly="true">
      <xsd:simpleType>
        <xsd:restriction base="dms:Number"/>
      </xsd:simpleType>
    </xsd:element>
    <xsd:element name="CCMSystemID" ma:index="51" nillable="true" ma:displayName="CCMSystemID" ma:description="" ma:hidden="true" ma:internalName="CCMSystemID" ma:readOnly="true">
      <xsd:simpleType>
        <xsd:restriction base="dms:Text"/>
      </xsd:simpleType>
    </xsd:element>
    <xsd:element name="WasEncrypted" ma:index="52" nillable="true" ma:displayName="Krypteret" ma:default="False" ma:description="" ma:internalName="WasEncrypted" ma:readOnly="true">
      <xsd:simpleType>
        <xsd:restriction base="dms:Boolean"/>
      </xsd:simpleType>
    </xsd:element>
    <xsd:element name="WasSigned" ma:index="53" nillable="true" ma:displayName="Signeret" ma:default="False" ma:description="" ma:internalName="WasSigned" ma:readOnly="true">
      <xsd:simpleType>
        <xsd:restriction base="dms:Boolean"/>
      </xsd:simpleType>
    </xsd:element>
    <xsd:element name="MailHasAttachments" ma:index="54" nillable="true" ma:displayName="E-mail har vedhæftede filer" ma:default="False" ma:description="" ma:internalName="MailHasAttachments" ma:readOnly="true">
      <xsd:simpleType>
        <xsd:restriction base="dms:Boolean"/>
      </xsd:simpleType>
    </xsd:element>
    <xsd:element name="CCMConversation" ma:index="55" nillable="true" ma:displayName="Samtale" ma:description="" ma:internalName="CCMConversation" ma:readOnly="true">
      <xsd:simpleType>
        <xsd:restriction base="dms:Text"/>
      </xsd:simpleType>
    </xsd:element>
    <xsd:element name="CCMOnlineStatus" ma:index="59"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element name="CCMPostListPublishStatus" ma:index="63" ma:displayName="PostListe udgivelsesstatus" ma:default="Afventer godkendelse" ma:description="" ma:internalName="CCMPostListPublishStatus" ma:readOnly="true">
      <xsd:simpleType>
        <xsd:restriction base="dms:Choice">
          <xsd:enumeration value="Afventer godkendelse"/>
          <xsd:enumeration value="Godkendt"/>
          <xsd:enumeration value="Afvist"/>
          <xsd:enumeration value="Udgivet"/>
        </xsd:restriction>
      </xsd:simpleType>
    </xsd:element>
    <xsd:element name="CCMWorkflowInstanceID" ma:index="64" nillable="true" ma:displayName="Workflow" ma:internalName="CCMWorkflowInstanceID">
      <xsd:simpleType>
        <xsd:restriction base="dms:Text">
          <xsd:maxLength value="255"/>
        </xsd:restriction>
      </xsd:simpleType>
    </xsd:element>
    <xsd:element name="CCMWorkflowStatus" ma:index="65" nillable="true" ma:displayName="Workflow status" ma:description="" ma:format="Dropdown" ma:internalName="CCMWorkflowStatus" ma:readOnly="true">
      <xsd:simpleType>
        <xsd:restriction base="dms:Choice">
          <xsd:enumeration value="Tom"/>
          <xsd:enumeration value="I gang"/>
          <xsd:enumeration value="Godkendt"/>
          <xsd:enumeration value="Betinget godkendt"/>
          <xsd:enumeration value="Afvist"/>
          <xsd:enumeration value="Afbrudt"/>
        </xsd:restriction>
      </xsd:simpleType>
    </xsd:element>
    <xsd:element name="CCMWorkflowName" ma:index="66" nillable="true" ma:displayName="Workflow navn" ma:internalName="CCMWorkflowName">
      <xsd:simpleType>
        <xsd:restriction base="dms:Text">
          <xsd:maxLength value="255"/>
        </xsd:restriction>
      </xsd:simpleType>
    </xsd:element>
    <xsd:element name="CCMWorkflowSpecialAccess" ma:index="67" nillable="true" ma:displayName="Særlig adgang" ma:hidden="true" ma:internalName="CCMWorkflowSpecialAcces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MWorkflowSpecialReadAccess" ma:index="68" nillable="true" ma:displayName="Særlig læse adgang" ma:hidden="true" ma:internalName="CCMWorkflowSpecialReadAcces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MWorkflowDidBrokePermissions" ma:index="69" nillable="true" ma:displayName="Workflowet påtrykte særlige rettigheder" ma:default="False" ma:hidden="true" ma:internalName="CCMWorkflowDidBrokePermissions"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f038efd-60d5-4198-a271-1b789e3e63e2" elementFormDefault="qualified">
    <xsd:import namespace="http://schemas.microsoft.com/office/2006/documentManagement/types"/>
    <xsd:import namespace="http://schemas.microsoft.com/office/infopath/2007/PartnerControls"/>
    <xsd:element name="Korrespondance" ma:index="2" ma:displayName="Dokumentkategori" ma:default="Intern" ma:description="" ma:format="Dropdown" ma:internalName="Korrespondance" ma:readOnly="false">
      <xsd:simpleType>
        <xsd:restriction base="dms:Choice">
          <xsd:enumeration value="Indgående"/>
          <xsd:enumeration value="Intern"/>
          <xsd:enumeration value="Udgående"/>
        </xsd:restriction>
      </xsd:simpleType>
    </xsd:element>
    <xsd:element name="CaseOwner" ma:index="3" nillable="true" ma:displayName="Dokumentansvarlig" ma:default="146;#Jeppe Vesterager Lauridsen (az82364)" ma:description=""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o" ma:index="4" ma:displayName="Dato" ma:default="[today]" ma:description="" ma:format="DateOnly" ma:internalName="Dato" ma:readOnly="false">
      <xsd:simpleType>
        <xsd:restriction base="dms:DateTime"/>
      </xsd:simpleType>
    </xsd:element>
    <xsd:element name="Beskrivelse" ma:index="6" nillable="true" ma:displayName="Beskrivelse" ma:description="" ma:internalName="Beskrivelse" ma:readOnly="false">
      <xsd:simpleType>
        <xsd:restriction base="dms:Note"/>
      </xsd:simpleType>
    </xsd:element>
    <xsd:element name="Classification" ma:index="22" nillable="true" ma:displayName="Klassifikation" ma:description="" ma:hidden="true" ma:internalName="Classification" ma:readOnly="false">
      <xsd:simpleType>
        <xsd:restriction base="dms:Choice">
          <xsd:enumeration value="Offentlig"/>
          <xsd:enumeration value="Åben"/>
          <xsd:enumeration value="Intern"/>
          <xsd:enumeration value="Fortrolig"/>
        </xsd:restriction>
      </xsd:simpleType>
    </xsd:element>
  </xsd:schema>
  <xsd:schema xmlns:xsd="http://www.w3.org/2001/XMLSchema" xmlns:xs="http://www.w3.org/2001/XMLSchema" xmlns:dms="http://schemas.microsoft.com/office/2006/documentManagement/types" xmlns:pc="http://schemas.microsoft.com/office/infopath/2007/PartnerControls" targetNamespace="896A8845-9EC2-4661-A90A-734E020065FB" elementFormDefault="qualified">
    <xsd:import namespace="http://schemas.microsoft.com/office/2006/documentManagement/types"/>
    <xsd:import namespace="http://schemas.microsoft.com/office/infopath/2007/PartnerControls"/>
    <xsd:element name="Frist" ma:index="5" nillable="true" ma:displayName="Opfølgningsfrist" ma:description="Frist for besvarelse af indgående dokument" ma:format="DateOnly" ma:internalName="Frist" ma:readOnly="false">
      <xsd:simpleType>
        <xsd:restriction base="dms:DateTime"/>
      </xsd:simpleType>
    </xsd:element>
    <xsd:element name="Modtagere" ma:index="8" nillable="true" ma:displayName="Modtagere" ma:description="" ma:list="{059B685A-256A-4E77-BFE8-475DFD2D7B0D}" ma:internalName="Modtagere" ma:showField="VisNavn">
      <xsd:complexType>
        <xsd:complexContent>
          <xsd:extension base="dms:MultiChoiceLookup">
            <xsd:sequence>
              <xsd:element name="Value" type="dms:Lookup" maxOccurs="unbounded" minOccurs="0" nillable="true"/>
            </xsd:sequence>
          </xsd:extension>
        </xsd:complexContent>
      </xsd:complexType>
    </xsd:element>
    <xsd:element name="Part" ma:index="9" nillable="true" ma:displayName="Part" ma:description="Udfyldes, hvis dette dokument skal tilknyttes en eksisterende sagspart" ma:list="{059B685A-256A-4E77-BFE8-475DFD2D7B0D}" ma:internalName="Part" ma:readOnly="false" ma:showField="VisNavn">
      <xsd:complexType>
        <xsd:complexContent>
          <xsd:extension base="dms:MultiChoiceLookup">
            <xsd:sequence>
              <xsd:element name="Value" type="dms:Lookup" maxOccurs="unbounded" minOccurs="0" nillable="true"/>
            </xsd:sequence>
          </xsd:extension>
        </xsd:complexContent>
      </xsd:complexType>
    </xsd:element>
    <xsd:element name="SvarPaa" ma:index="10" nillable="true" ma:displayName="Svar på" ma:description="Udfyldes, hvis dette er et svar på et indgående dokument" ma:list="{896A8845-9EC2-4661-A90A-734E020065FB}" ma:internalName="SvarPaa" ma:readOnly="false" ma:showField="Title">
      <xsd:complexType>
        <xsd:complexContent>
          <xsd:extension base="dms:MultiChoiceLookup">
            <xsd:sequence>
              <xsd:element name="Value" type="dms:Lookup" maxOccurs="unbounded" minOccurs="0" nillable="true"/>
            </xsd:sequence>
          </xsd:extension>
        </xsd:complexContent>
      </xsd:complexType>
    </xsd:element>
    <xsd:element name="ErBesvaret" ma:index="11" nillable="true" ma:displayName="Er besvaret?" ma:default="0" ma:description="" ma:internalName="ErBesvaret">
      <xsd:simpleType>
        <xsd:restriction base="dms:Boolean"/>
      </xsd:simpleType>
    </xsd:element>
    <xsd:element name="CCMMeetingCaseLink" ma:index="12" nillable="true" ma:displayName="Mødesag" ma:description=""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fsender" ma:index="13" nillable="true" ma:displayName="Afsender" ma:description="" ma:list="{059B685A-256A-4E77-BFE8-475DFD2D7B0D}" ma:internalName="Afsender" ma:showField="VisNavn">
      <xsd:simpleType>
        <xsd:restriction base="dms:Lookup"/>
      </xsd:simpleType>
    </xsd:element>
    <xsd:element name="Dokumentgruppe" ma:index="14" nillable="true" ma:displayName="Dokumentgruppe" ma:description="" ma:internalName="Dokumentgruppe">
      <xsd:simpleType>
        <xsd:restriction base="dms:Text">
          <xsd:maxLength value="255"/>
        </xsd:restriction>
      </xsd:simpleType>
    </xsd:element>
    <xsd:element name="LongTitle" ma:index="15" nillable="true" ma:displayName="eDoc titel" ma:description="" ma:internalName="LongTitle">
      <xsd:simpleType>
        <xsd:restriction base="dms:Note">
          <xsd:maxLength value="255"/>
        </xsd:restriction>
      </xsd:simpleType>
    </xsd:element>
    <xsd:element name="EdocDocId" ma:index="16" nillable="true" ma:displayName="eDoc Dok id" ma:description="" ma:internalName="EdocDocId">
      <xsd:simpleType>
        <xsd:restriction base="dms:Text">
          <xsd:maxLength value="255"/>
        </xsd:restriction>
      </xsd:simpleType>
    </xsd:element>
    <xsd:element name="EdocKorrespondance" ma:index="17" nillable="true" ma:displayName="eDoc kommunikation" ma:description="" ma:internalName="EdocKorrespondance">
      <xsd:simpleType>
        <xsd:restriction base="dms:Note">
          <xsd:maxLength value="255"/>
        </xsd:restriction>
      </xsd:simpleType>
    </xsd:element>
    <xsd:element name="Forsendelsesdato" ma:index="18" nillable="true" ma:displayName="Forsendelsesdato" ma:description="" ma:format="DateOnly" ma:internalName="Forsendelsesdato">
      <xsd:simpleType>
        <xsd:restriction base="dms:DateTime"/>
      </xsd:simpleType>
    </xsd:element>
    <xsd:element name="CCMMustBeOnPostList" ma:index="19" nillable="true" ma:displayName="Skal på postliste" ma:default="True" ma:description="" ma:internalName="CCMMustBeOnPostList">
      <xsd:simpleType>
        <xsd:restriction base="dms:Boolean"/>
      </xsd:simpleType>
    </xsd:element>
    <xsd:element name="PostListDate" ma:index="20" nillable="true" ma:displayName="Skal tilføjes til postliste" ma:description="Udfyldes automatisk når dokumentet journaliseres. Indgående: dags dato. Udgående: dags dato + tre hverdage" ma:format="DateOnly" ma:internalName="PostListDate">
      <xsd:simpleType>
        <xsd:restriction base="dms:DateTime"/>
      </xsd:simpleType>
    </xsd:element>
    <xsd:element name="Afvisningsaarsag" ma:index="21" nillable="true" ma:displayName="Afvisningsårsag" ma:internalName="Afvisningsaarsag">
      <xsd:simpleType>
        <xsd:restriction base="dms:Note">
          <xsd:maxLength value="255"/>
        </xsd:restriction>
      </xsd:simpleType>
    </xsd:element>
    <xsd:element name="CCMMeetingCaseId" ma:index="46" nillable="true" ma:displayName="CCMMeetingCaseId" ma:description="" ma:hidden="true" ma:internalName="CCMMeetingCaseId">
      <xsd:simpleType>
        <xsd:restriction base="dms:Text">
          <xsd:maxLength value="255"/>
        </xsd:restriction>
      </xsd:simpleType>
    </xsd:element>
    <xsd:element name="CCMAgendaItemId" ma:index="47" nillable="true" ma:displayName="CCMAgendaItemId" ma:decimals="0" ma:description="" ma:hidden="true" ma:internalName="CCMAgendaItemId">
      <xsd:simpleType>
        <xsd:restriction base="dms:Number"/>
      </xsd:simpleType>
    </xsd:element>
    <xsd:element name="AgendaStatusIcon" ma:index="48" nillable="true" ma:displayName="Ikon for dagsordensstatus" ma:description="" ma:internalName="AgendaStatusIcon" ma:readOnly="true">
      <xsd:simpleType>
        <xsd:restriction base="dms:Unknown"/>
      </xsd:simpleType>
    </xsd:element>
    <xsd:element name="CCMAgendaDocumentStatus" ma:index="57" nillable="true" ma:displayName="Status for dagsordensdokument" ma:description="" ma:format="Dropdown" ma:hidden="true" ma:internalName="CCMAgendaDocumentStatus" ma:readOnly="false">
      <xsd:simpleType>
        <xsd:restriction base="dms:Choice">
          <xsd:enumeration value="Udkast"/>
          <xsd:enumeration value="Under udarbejdelse"/>
          <xsd:enumeration value="Endelig"/>
        </xsd:restriction>
      </xsd:simpleType>
    </xsd:element>
    <xsd:element name="CCMAgendaStatus" ma:index="58" nillable="true" ma:displayName="Dagsordenstatus" ma:default="" ma:description="" ma:format="Dropdown" ma:hidden="true" ma:internalName="CCMAgendaStatus" ma:readOnly="false">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DeliveryStatus" ma:index="60" nillable="true" ma:displayName="Forsendelsesstatus" ma:description="" ma:internalName="DeliveryStatus" ma:readOnly="true">
      <xsd:simpleType>
        <xsd:restriction base="dms:Text"/>
      </xsd:simpleType>
    </xsd:element>
    <xsd:element name="e98d1497e63448c0b4fc1021de4c39e7" ma:index="62" nillable="true" ma:taxonomy="true" ma:internalName="e98d1497e63448c0b4fc1021de4c39e7" ma:taxonomyFieldName="Dokumenttype" ma:displayName="Dokumenttype" ma:default="" ma:fieldId="{e98d1497-e634-48c0-b4fc-1021de4c39e7}" ma:sspId="fa62fa73-06a4-4d3f-ac30-4c119cbd4bd7" ma:termSetId="1f9313ec-bcdf-4c8a-8c66-ce0a808409d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a82a76-de0f-4d9e-82fd-ca5fbd8e9260" elementFormDefault="qualified">
    <xsd:import namespace="http://schemas.microsoft.com/office/2006/documentManagement/types"/>
    <xsd:import namespace="http://schemas.microsoft.com/office/infopath/2007/PartnerControls"/>
    <xsd:element name="TaxCatchAll" ma:index="45" nillable="true" ma:displayName="Taxonomy Catch All Column" ma:hidden="true" ma:list="{63d1f9ba-e4cb-4266-a882-190de1aa5885}" ma:internalName="TaxCatchAll" ma:showField="CatchAllData" ma:web="d9a82a76-de0f-4d9e-82fd-ca5fbd8e92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bs:GrowBusinessDocument xmlns:gbs="http://www.software-innovation.no/growBusinessDocument" gbs:officeVersion="2007" gbs:sourceId="" gbs:entity="Document" gbs:templateDesignerVersion="3.1 F">
  <gbs:DocumentNumber gbs:loadFromGrowBusiness="OnProduce" gbs:saveInGrowBusiness="False" gbs:connected="true" gbs:recno="" gbs:entity="" gbs:datatype="string" gbs:key="19073294">Sagsnr.</gbs:DocumentNumber>
</gbs:GrowBusinessDocument>
</file>

<file path=customXml/item4.xml><?xml version="1.0" encoding="utf-8"?>
<p:properties xmlns:p="http://schemas.microsoft.com/office/2006/metadata/properties" xmlns:xsi="http://www.w3.org/2001/XMLSchema-instance" xmlns:pc="http://schemas.microsoft.com/office/infopath/2007/PartnerControls">
  <documentManagement>
    <LocalAttachment xmlns="http://schemas.microsoft.com/sharepoint/v3">false</LocalAttachment>
    <CaseOwner xmlns="ff038efd-60d5-4198-a271-1b789e3e63e2">
      <UserInfo>
        <DisplayName>Jeppe Vesterager Lauridsen(az82364)</DisplayName>
        <AccountId>146</AccountId>
        <AccountType/>
      </UserInfo>
    </CaseOwner>
    <CCMMetadataExtractionStatus xmlns="http://schemas.microsoft.com/sharepoint/v3">CCMPageCount:Idle;CCMCommentCount:Idle</CCMMetadataExtractionStatus>
    <Finalized xmlns="http://schemas.microsoft.com/sharepoint/v3">false</Finalized>
    <CCMPageCount xmlns="http://schemas.microsoft.com/sharepoint/v3">9</CCMPageCount>
    <DocID xmlns="http://schemas.microsoft.com/sharepoint/v3">14864803</DocID>
    <CCMCommentCount xmlns="http://schemas.microsoft.com/sharepoint/v3">0</CCMCommentCount>
    <CCMTemplateID xmlns="http://schemas.microsoft.com/sharepoint/v3">0</CCMTemplateID>
    <CaseRecordNumber xmlns="http://schemas.microsoft.com/sharepoint/v3">0</CaseRecordNumber>
    <CaseID xmlns="http://schemas.microsoft.com/sharepoint/v3">EMN-2025-005630</CaseID>
    <RegistrationDate xmlns="http://schemas.microsoft.com/sharepoint/v3" xsi:nil="true"/>
    <CCMPreviewAnnotationsTasks xmlns="http://schemas.microsoft.com/sharepoint/v3">0</CCMPreviewAnnotationsTasks>
    <Related xmlns="http://schemas.microsoft.com/sharepoint/v3">false</Related>
    <CCMSystemID xmlns="http://schemas.microsoft.com/sharepoint/v3">f452fd82-f825-4625-94f7-931e364632d9</CCMSystemID>
    <CCMVisualId xmlns="http://schemas.microsoft.com/sharepoint/v3">EMN-2025-005630</CCMVisualId>
    <SvarPaa xmlns="896A8845-9EC2-4661-A90A-734E020065FB"/>
    <Modtagere xmlns="896A8845-9EC2-4661-A90A-734E020065FB"/>
    <CCMWorkflowSpecialAccess xmlns="http://schemas.microsoft.com/sharepoint/v3">
      <UserInfo>
        <DisplayName/>
        <AccountId xsi:nil="true"/>
        <AccountType/>
      </UserInfo>
    </CCMWorkflowSpecialAccess>
    <CCMAgendaStatus xmlns="896A8845-9EC2-4661-A90A-734E020065FB" xsi:nil="true"/>
    <e98d1497e63448c0b4fc1021de4c39e7 xmlns="896A8845-9EC2-4661-A90A-734E020065FB">
      <Terms xmlns="http://schemas.microsoft.com/office/infopath/2007/PartnerControls"/>
    </e98d1497e63448c0b4fc1021de4c39e7>
    <Dokumentgruppe xmlns="896A8845-9EC2-4661-A90A-734E020065FB" xsi:nil="true"/>
    <CCMWorkflowDidBrokePermissions xmlns="http://schemas.microsoft.com/sharepoint/v3">false</CCMWorkflowDidBrokePermissions>
    <CCMCognitiveType xmlns="http://schemas.microsoft.com/sharepoint/v3" xsi:nil="true"/>
    <CCMWorkflowSpecialReadAccess xmlns="http://schemas.microsoft.com/sharepoint/v3">
      <UserInfo>
        <DisplayName/>
        <AccountId xsi:nil="true"/>
        <AccountType/>
      </UserInfo>
    </CCMWorkflowSpecialReadAccess>
    <Forsendelsesdato xmlns="896A8845-9EC2-4661-A90A-734E020065FB" xsi:nil="true"/>
    <TaxCatchAll xmlns="d9a82a76-de0f-4d9e-82fd-ca5fbd8e9260"/>
    <CCMMeetingCaseId xmlns="896A8845-9EC2-4661-A90A-734E020065FB" xsi:nil="true"/>
    <EdocDocId xmlns="896A8845-9EC2-4661-A90A-734E020065FB" xsi:nil="true"/>
    <EdocKorrespondance xmlns="896A8845-9EC2-4661-A90A-734E020065FB" xsi:nil="true"/>
    <CCMAgendaDocumentStatus xmlns="896A8845-9EC2-4661-A90A-734E020065FB" xsi:nil="true"/>
    <Frist xmlns="896A8845-9EC2-4661-A90A-734E020065FB" xsi:nil="true"/>
    <LongTitle xmlns="896A8845-9EC2-4661-A90A-734E020065FB" xsi:nil="true"/>
    <CCMAgendaItemId xmlns="896A8845-9EC2-4661-A90A-734E020065FB" xsi:nil="true"/>
    <CCMWorkflowName xmlns="http://schemas.microsoft.com/sharepoint/v3">(NY) Besvarelse - 10-dages forespørgsel fra SF til BA om administrative besparelser</CCMWorkflowName>
    <Beskrivelse xmlns="ff038efd-60d5-4198-a271-1b789e3e63e2" xsi:nil="true"/>
    <Afvisningsaarsag xmlns="896A8845-9EC2-4661-A90A-734E020065FB" xsi:nil="true"/>
    <CCMMustBeOnPostList xmlns="896A8845-9EC2-4661-A90A-734E020065FB">false</CCMMustBeOnPostList>
    <Classification xmlns="ff038efd-60d5-4198-a271-1b789e3e63e2" xsi:nil="true"/>
    <Korrespondance xmlns="ff038efd-60d5-4198-a271-1b789e3e63e2">Intern</Korrespondance>
    <Dato xmlns="ff038efd-60d5-4198-a271-1b789e3e63e2">2025-05-14T22:00:00+00:00</Dato>
    <PostListDate xmlns="896A8845-9EC2-4661-A90A-734E020065FB" xsi:nil="true"/>
    <Afsender xmlns="896A8845-9EC2-4661-A90A-734E020065FB" xsi:nil="true"/>
    <Part xmlns="896A8845-9EC2-4661-A90A-734E020065FB"/>
    <CCMWorkflowInstanceID xmlns="http://schemas.microsoft.com/sharepoint/v3">2a9943fb-6dc3-4cd3-a045-b93623d59ce3</CCMWorkflowInstanceID>
    <CCMMeetingCaseLink xmlns="896A8845-9EC2-4661-A90A-734E020065FB">
      <Url xsi:nil="true"/>
      <Description xsi:nil="true"/>
    </CCMMeetingCaseLink>
    <ErBesvaret xmlns="896A8845-9EC2-4661-A90A-734E020065FB">false</ErBesvaret>
    <CCMWorkflowStatus xmlns="http://schemas.microsoft.com/sharepoint/v3">I gang</CCMWorkflowStatus>
    <CCMConversation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88B12-2B78-4DC6-9F50-B617F61AD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038efd-60d5-4198-a271-1b789e3e63e2"/>
    <ds:schemaRef ds:uri="896A8845-9EC2-4661-A90A-734E020065FB"/>
    <ds:schemaRef ds:uri="d9a82a76-de0f-4d9e-82fd-ca5fbd8e9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4F1B4-C3E5-4BE7-B84B-1F49A305A225}">
  <ds:schemaRefs>
    <ds:schemaRef ds:uri="http://schemas.openxmlformats.org/officeDocument/2006/bibliography"/>
  </ds:schemaRefs>
</ds:datastoreItem>
</file>

<file path=customXml/itemProps3.xml><?xml version="1.0" encoding="utf-8"?>
<ds:datastoreItem xmlns:ds="http://schemas.openxmlformats.org/officeDocument/2006/customXml" ds:itemID="{FA9BD2E9-6182-47C9-AFDF-28C451F6C10C}">
  <ds:schemaRefs>
    <ds:schemaRef ds:uri="http://www.software-innovation.no/growBusinessDocument"/>
  </ds:schemaRefs>
</ds:datastoreItem>
</file>

<file path=customXml/itemProps4.xml><?xml version="1.0" encoding="utf-8"?>
<ds:datastoreItem xmlns:ds="http://schemas.openxmlformats.org/officeDocument/2006/customXml" ds:itemID="{E5684F2B-CB80-4218-95BE-7B13D04BD8A4}">
  <ds:schemaRefs>
    <ds:schemaRef ds:uri="http://schemas.microsoft.com/office/2006/metadata/properties"/>
    <ds:schemaRef ds:uri="http://schemas.microsoft.com/office/infopath/2007/PartnerControls"/>
    <ds:schemaRef ds:uri="http://schemas.microsoft.com/sharepoint/v3"/>
    <ds:schemaRef ds:uri="ff038efd-60d5-4198-a271-1b789e3e63e2"/>
    <ds:schemaRef ds:uri="896A8845-9EC2-4661-A90A-734E020065FB"/>
    <ds:schemaRef ds:uri="d9a82a76-de0f-4d9e-82fd-ca5fbd8e9260"/>
  </ds:schemaRefs>
</ds:datastoreItem>
</file>

<file path=customXml/itemProps5.xml><?xml version="1.0" encoding="utf-8"?>
<ds:datastoreItem xmlns:ds="http://schemas.openxmlformats.org/officeDocument/2006/customXml" ds:itemID="{206523C3-3753-4779-9613-2C881C12D8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AK Notat</Template>
  <TotalTime>21</TotalTime>
  <Pages>9</Pages>
  <Words>2310</Words>
  <Characters>13912</Characters>
  <Application>Microsoft Office Word</Application>
  <DocSecurity>0</DocSecurity>
  <Lines>535</Lines>
  <Paragraphs>311</Paragraphs>
  <ScaleCrop>false</ScaleCrop>
  <HeadingPairs>
    <vt:vector size="2" baseType="variant">
      <vt:variant>
        <vt:lpstr>Titel</vt:lpstr>
      </vt:variant>
      <vt:variant>
        <vt:i4>1</vt:i4>
      </vt:variant>
    </vt:vector>
  </HeadingPairs>
  <TitlesOfParts>
    <vt:vector size="1" baseType="lpstr">
      <vt:lpstr>10-dages forespørgsel fra SF til BA om administrative besparelser</vt:lpstr>
    </vt:vector>
  </TitlesOfParts>
  <Company>Aarhus Kommune</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10-dages forespørgsel fra SF til BA om administrative besparelser-17.06.25</dc:title>
  <dc:subject/>
  <dc:creator>Jeppe Vesterager Lauridsen</dc:creator>
  <cp:keywords/>
  <dc:description/>
  <cp:lastModifiedBy>Cathrine Hedegård</cp:lastModifiedBy>
  <cp:revision>6</cp:revision>
  <dcterms:created xsi:type="dcterms:W3CDTF">2025-06-17T08:42:00Z</dcterms:created>
  <dcterms:modified xsi:type="dcterms:W3CDTF">2025-06-23T12:19:00Z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OneDriveID">
    <vt:lpwstr/>
  </property>
  <property fmtid="{D5CDD505-2E9C-101B-9397-08002B2CF9AE}" pid="3" name="CCMOneDriveOwnerID">
    <vt:lpwstr/>
  </property>
  <property fmtid="{D5CDD505-2E9C-101B-9397-08002B2CF9AE}" pid="4" name="ContentTypeId">
    <vt:lpwstr>0x010100AC085CFC53BC46CEA2EADE194AD9D48200C77995E30F7F9D4282BDDB46AC0740EA</vt:lpwstr>
  </property>
  <property fmtid="{D5CDD505-2E9C-101B-9397-08002B2CF9AE}" pid="5" name="CCMOneDriveItemID">
    <vt:lpwstr/>
  </property>
  <property fmtid="{D5CDD505-2E9C-101B-9397-08002B2CF9AE}" pid="6" name="CCMIsSharedOnOneDrive">
    <vt:bool>false</vt:bool>
  </property>
  <property fmtid="{D5CDD505-2E9C-101B-9397-08002B2CF9AE}" pid="7" name="CCMEventContext_DocumentGOWorkflowUpdatingEvent">
    <vt:lpwstr>c9fc284b-a9e7-4a86-8b12-e738ad136f28</vt:lpwstr>
  </property>
  <property fmtid="{D5CDD505-2E9C-101B-9397-08002B2CF9AE}" pid="8" name="CCMReplyToDocCacheId_AA145BE6-B859-401A-B2E0-03BB3E7048FC_">
    <vt:lpwstr>CCMReplyToDocCacheId_AA145BE6-B859-401A-B2E0-03BB3E7048FC_6cc9def1-0c85-4f6a-8132-c10e2bf174d0</vt:lpwstr>
  </property>
  <property fmtid="{D5CDD505-2E9C-101B-9397-08002B2CF9AE}" pid="9" name="CCMEventContext_DocumentTimelineUpdatingEvent">
    <vt:lpwstr>4563c45e-1dad-4707-8f98-53d000463502</vt:lpwstr>
  </property>
  <property fmtid="{D5CDD505-2E9C-101B-9397-08002B2CF9AE}" pid="10" name="Dokumenttype">
    <vt:lpwstr/>
  </property>
  <property fmtid="{D5CDD505-2E9C-101B-9397-08002B2CF9AE}" pid="11" name="CCMCommunication">
    <vt:lpwstr>GOWorkflowDocumentLastCheckedInVersion;4.0</vt:lpwstr>
  </property>
  <property fmtid="{D5CDD505-2E9C-101B-9397-08002B2CF9AE}" pid="12" name="CCMSystem">
    <vt:lpwstr> </vt:lpwstr>
  </property>
</Properties>
</file>